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W w:w="5528" w:type="dxa"/>
        <w:tblInd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tblGrid>
      <w:tr w:rsidR="00C65418" w:rsidRPr="00720FAA" w:rsidTr="00ED5C0B">
        <w:tc>
          <w:tcPr>
            <w:tcW w:w="5528" w:type="dxa"/>
          </w:tcPr>
          <w:p w:rsidR="00C65418" w:rsidRPr="00F511DC" w:rsidRDefault="00F511DC" w:rsidP="00ED5C0B">
            <w:pPr>
              <w:rPr>
                <w:rFonts w:ascii="Times New Roman" w:hAnsi="Times New Roman" w:cs="Times New Roman"/>
                <w:b/>
                <w:sz w:val="28"/>
                <w:szCs w:val="28"/>
              </w:rPr>
            </w:pPr>
            <w:r w:rsidRPr="00F511DC">
              <w:rPr>
                <w:rFonts w:ascii="Times New Roman" w:hAnsi="Times New Roman" w:cs="Times New Roman"/>
                <w:b/>
                <w:sz w:val="28"/>
                <w:szCs w:val="28"/>
              </w:rPr>
              <w:t>До 1 года осуществления коммерческой деятельности</w:t>
            </w:r>
          </w:p>
          <w:p w:rsidR="00F511DC" w:rsidRPr="00720FAA" w:rsidRDefault="00F511DC" w:rsidP="00ED5C0B">
            <w:pPr>
              <w:rPr>
                <w:rFonts w:ascii="Times New Roman" w:hAnsi="Times New Roman" w:cs="Times New Roman"/>
                <w:sz w:val="28"/>
                <w:szCs w:val="28"/>
              </w:rPr>
            </w:pPr>
            <w:bookmarkStart w:id="0" w:name="_GoBack"/>
            <w:bookmarkEnd w:id="0"/>
          </w:p>
        </w:tc>
      </w:tr>
      <w:tr w:rsidR="00C65418" w:rsidRPr="005F6900" w:rsidTr="00ED5C0B">
        <w:tc>
          <w:tcPr>
            <w:tcW w:w="5528" w:type="dxa"/>
          </w:tcPr>
          <w:p w:rsidR="00C65418" w:rsidRPr="005F6900" w:rsidRDefault="00C65418" w:rsidP="00ED5C0B">
            <w:pPr>
              <w:jc w:val="both"/>
              <w:rPr>
                <w:rFonts w:ascii="Times New Roman" w:hAnsi="Times New Roman" w:cs="Times New Roman"/>
                <w:sz w:val="28"/>
                <w:szCs w:val="28"/>
              </w:rPr>
            </w:pPr>
          </w:p>
        </w:tc>
      </w:tr>
    </w:tbl>
    <w:p w:rsidR="00C65418" w:rsidRPr="00720FAA" w:rsidRDefault="00C65418" w:rsidP="00C65418">
      <w:pPr>
        <w:spacing w:after="0" w:line="240" w:lineRule="auto"/>
        <w:jc w:val="center"/>
        <w:rPr>
          <w:rFonts w:ascii="Times New Roman" w:hAnsi="Times New Roman" w:cs="Times New Roman"/>
          <w:b/>
          <w:sz w:val="28"/>
          <w:szCs w:val="28"/>
        </w:rPr>
      </w:pPr>
      <w:r w:rsidRPr="00720FAA">
        <w:rPr>
          <w:rFonts w:ascii="Times New Roman" w:hAnsi="Times New Roman" w:cs="Times New Roman"/>
          <w:b/>
          <w:sz w:val="28"/>
          <w:szCs w:val="28"/>
        </w:rPr>
        <w:t>СПЕЦИФИКАЦИЯ БАНКОВСКОГО ПРОДУКТА</w:t>
      </w:r>
    </w:p>
    <w:p w:rsidR="00E10701" w:rsidRPr="00ED4603" w:rsidRDefault="00C65418" w:rsidP="001138E3">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Финансирования </w:t>
      </w:r>
      <w:r w:rsidR="00F352B0">
        <w:rPr>
          <w:rFonts w:ascii="Times New Roman" w:hAnsi="Times New Roman" w:cs="Times New Roman"/>
          <w:b/>
          <w:sz w:val="26"/>
          <w:szCs w:val="26"/>
          <w:lang w:val="en-US"/>
        </w:rPr>
        <w:t>Start</w:t>
      </w:r>
      <w:r w:rsidR="00F352B0" w:rsidRPr="00F352B0">
        <w:rPr>
          <w:rFonts w:ascii="Times New Roman" w:hAnsi="Times New Roman" w:cs="Times New Roman"/>
          <w:b/>
          <w:sz w:val="26"/>
          <w:szCs w:val="26"/>
        </w:rPr>
        <w:t>-</w:t>
      </w:r>
      <w:r w:rsidR="00F352B0">
        <w:rPr>
          <w:rFonts w:ascii="Times New Roman" w:hAnsi="Times New Roman" w:cs="Times New Roman"/>
          <w:b/>
          <w:sz w:val="26"/>
          <w:szCs w:val="26"/>
          <w:lang w:val="en-US"/>
        </w:rPr>
        <w:t>up</w:t>
      </w:r>
      <w:r w:rsidR="00F352B0" w:rsidRPr="00F352B0">
        <w:rPr>
          <w:rFonts w:ascii="Times New Roman" w:hAnsi="Times New Roman" w:cs="Times New Roman"/>
          <w:b/>
          <w:sz w:val="26"/>
          <w:szCs w:val="26"/>
        </w:rPr>
        <w:t xml:space="preserve"> </w:t>
      </w:r>
      <w:r w:rsidR="00F352B0">
        <w:rPr>
          <w:rFonts w:ascii="Times New Roman" w:hAnsi="Times New Roman" w:cs="Times New Roman"/>
          <w:b/>
          <w:sz w:val="26"/>
          <w:szCs w:val="26"/>
        </w:rPr>
        <w:t>компаниям в рамках финансовой поддержки субъектов МСП</w:t>
      </w:r>
      <w:r w:rsidR="006B5ED3">
        <w:rPr>
          <w:rFonts w:ascii="Times New Roman" w:hAnsi="Times New Roman" w:cs="Times New Roman"/>
          <w:b/>
          <w:sz w:val="26"/>
          <w:szCs w:val="26"/>
        </w:rPr>
        <w:t xml:space="preserve"> через механизм кредитования</w:t>
      </w:r>
    </w:p>
    <w:tbl>
      <w:tblPr>
        <w:tblStyle w:val="a6"/>
        <w:tblW w:w="0" w:type="auto"/>
        <w:jc w:val="center"/>
        <w:tblLook w:val="04A0" w:firstRow="1" w:lastRow="0" w:firstColumn="1" w:lastColumn="0" w:noHBand="0" w:noVBand="1"/>
      </w:tblPr>
      <w:tblGrid>
        <w:gridCol w:w="3097"/>
        <w:gridCol w:w="3123"/>
        <w:gridCol w:w="2198"/>
        <w:gridCol w:w="2302"/>
        <w:gridCol w:w="4633"/>
      </w:tblGrid>
      <w:tr w:rsidR="00A9159B" w:rsidRPr="00ED4603" w:rsidTr="00A9159B">
        <w:trPr>
          <w:jc w:val="center"/>
        </w:trPr>
        <w:tc>
          <w:tcPr>
            <w:tcW w:w="3097" w:type="dxa"/>
            <w:vMerge w:val="restart"/>
            <w:vAlign w:val="center"/>
          </w:tcPr>
          <w:p w:rsidR="00A9159B" w:rsidRPr="00ED4603" w:rsidRDefault="00A9159B" w:rsidP="00B97558">
            <w:pPr>
              <w:jc w:val="center"/>
              <w:rPr>
                <w:rFonts w:ascii="Times New Roman" w:hAnsi="Times New Roman" w:cs="Times New Roman"/>
                <w:sz w:val="26"/>
                <w:szCs w:val="26"/>
              </w:rPr>
            </w:pPr>
            <w:r w:rsidRPr="00ED4603">
              <w:rPr>
                <w:rFonts w:ascii="Times New Roman" w:hAnsi="Times New Roman" w:cs="Times New Roman"/>
                <w:sz w:val="26"/>
                <w:szCs w:val="26"/>
              </w:rPr>
              <w:t>Условия</w:t>
            </w:r>
          </w:p>
        </w:tc>
        <w:tc>
          <w:tcPr>
            <w:tcW w:w="3123" w:type="dxa"/>
            <w:vMerge w:val="restart"/>
            <w:vAlign w:val="center"/>
          </w:tcPr>
          <w:p w:rsidR="00A9159B" w:rsidRPr="00ED4603" w:rsidRDefault="00A9159B" w:rsidP="005729E8">
            <w:pPr>
              <w:jc w:val="center"/>
              <w:rPr>
                <w:rFonts w:ascii="Times New Roman" w:hAnsi="Times New Roman" w:cs="Times New Roman"/>
                <w:sz w:val="26"/>
                <w:szCs w:val="26"/>
              </w:rPr>
            </w:pPr>
            <w:r w:rsidRPr="00ED4603">
              <w:rPr>
                <w:rFonts w:ascii="Times New Roman" w:hAnsi="Times New Roman" w:cs="Times New Roman"/>
                <w:sz w:val="26"/>
                <w:szCs w:val="26"/>
              </w:rPr>
              <w:t>для Банка-партнера</w:t>
            </w:r>
          </w:p>
        </w:tc>
        <w:tc>
          <w:tcPr>
            <w:tcW w:w="9133" w:type="dxa"/>
            <w:gridSpan w:val="3"/>
          </w:tcPr>
          <w:p w:rsidR="00A9159B" w:rsidRPr="00ED4603" w:rsidRDefault="00A9159B" w:rsidP="00B97558">
            <w:pPr>
              <w:jc w:val="center"/>
              <w:rPr>
                <w:rFonts w:ascii="Times New Roman" w:hAnsi="Times New Roman" w:cs="Times New Roman"/>
                <w:sz w:val="26"/>
                <w:szCs w:val="26"/>
              </w:rPr>
            </w:pPr>
            <w:r w:rsidRPr="00ED4603">
              <w:rPr>
                <w:rFonts w:ascii="Times New Roman" w:hAnsi="Times New Roman" w:cs="Times New Roman"/>
                <w:sz w:val="26"/>
                <w:szCs w:val="26"/>
              </w:rPr>
              <w:t xml:space="preserve">для </w:t>
            </w:r>
            <w:proofErr w:type="spellStart"/>
            <w:r w:rsidRPr="00ED4603">
              <w:rPr>
                <w:rFonts w:ascii="Times New Roman" w:hAnsi="Times New Roman" w:cs="Times New Roman"/>
                <w:sz w:val="26"/>
                <w:szCs w:val="26"/>
              </w:rPr>
              <w:t>Субзаемщика</w:t>
            </w:r>
            <w:proofErr w:type="spellEnd"/>
          </w:p>
        </w:tc>
      </w:tr>
      <w:tr w:rsidR="00500313" w:rsidRPr="00ED4603" w:rsidTr="001560F6">
        <w:trPr>
          <w:jc w:val="center"/>
        </w:trPr>
        <w:tc>
          <w:tcPr>
            <w:tcW w:w="3097" w:type="dxa"/>
            <w:vMerge/>
            <w:vAlign w:val="center"/>
          </w:tcPr>
          <w:p w:rsidR="00500313" w:rsidRPr="00ED4603" w:rsidRDefault="00500313" w:rsidP="00B97558">
            <w:pPr>
              <w:jc w:val="center"/>
              <w:rPr>
                <w:rFonts w:ascii="Times New Roman" w:hAnsi="Times New Roman" w:cs="Times New Roman"/>
                <w:sz w:val="26"/>
                <w:szCs w:val="26"/>
              </w:rPr>
            </w:pPr>
          </w:p>
        </w:tc>
        <w:tc>
          <w:tcPr>
            <w:tcW w:w="3123" w:type="dxa"/>
            <w:vMerge/>
            <w:vAlign w:val="center"/>
          </w:tcPr>
          <w:p w:rsidR="00500313" w:rsidRPr="00ED4603" w:rsidRDefault="00500313" w:rsidP="00B97558">
            <w:pPr>
              <w:jc w:val="center"/>
              <w:rPr>
                <w:rFonts w:ascii="Times New Roman" w:hAnsi="Times New Roman" w:cs="Times New Roman"/>
                <w:sz w:val="26"/>
                <w:szCs w:val="26"/>
              </w:rPr>
            </w:pPr>
          </w:p>
        </w:tc>
        <w:tc>
          <w:tcPr>
            <w:tcW w:w="2198" w:type="dxa"/>
          </w:tcPr>
          <w:p w:rsidR="00500313" w:rsidRPr="00ED4603" w:rsidRDefault="00500313" w:rsidP="005729E8">
            <w:pPr>
              <w:jc w:val="center"/>
              <w:rPr>
                <w:rFonts w:ascii="Times New Roman" w:hAnsi="Times New Roman" w:cs="Times New Roman"/>
                <w:sz w:val="26"/>
                <w:szCs w:val="26"/>
              </w:rPr>
            </w:pPr>
            <w:r>
              <w:rPr>
                <w:rFonts w:ascii="Times New Roman" w:hAnsi="Times New Roman" w:cs="Times New Roman"/>
                <w:sz w:val="26"/>
                <w:szCs w:val="26"/>
              </w:rPr>
              <w:t>индивидуальные предприниматели</w:t>
            </w:r>
          </w:p>
        </w:tc>
        <w:tc>
          <w:tcPr>
            <w:tcW w:w="2302" w:type="dxa"/>
            <w:vAlign w:val="center"/>
          </w:tcPr>
          <w:p w:rsidR="00500313" w:rsidRPr="00ED4603" w:rsidRDefault="00500313" w:rsidP="005729E8">
            <w:pPr>
              <w:jc w:val="center"/>
              <w:rPr>
                <w:rFonts w:ascii="Times New Roman" w:hAnsi="Times New Roman" w:cs="Times New Roman"/>
                <w:sz w:val="26"/>
                <w:szCs w:val="26"/>
              </w:rPr>
            </w:pPr>
            <w:proofErr w:type="spellStart"/>
            <w:r w:rsidRPr="00ED4603">
              <w:rPr>
                <w:rFonts w:ascii="Times New Roman" w:hAnsi="Times New Roman" w:cs="Times New Roman"/>
                <w:sz w:val="26"/>
                <w:szCs w:val="26"/>
              </w:rPr>
              <w:t>микроорганизации</w:t>
            </w:r>
            <w:proofErr w:type="spellEnd"/>
          </w:p>
        </w:tc>
        <w:tc>
          <w:tcPr>
            <w:tcW w:w="4633" w:type="dxa"/>
            <w:vAlign w:val="center"/>
          </w:tcPr>
          <w:p w:rsidR="00500313" w:rsidRPr="00ED4603" w:rsidRDefault="00500313" w:rsidP="005729E8">
            <w:pPr>
              <w:jc w:val="center"/>
              <w:rPr>
                <w:rFonts w:ascii="Times New Roman" w:hAnsi="Times New Roman" w:cs="Times New Roman"/>
                <w:sz w:val="26"/>
                <w:szCs w:val="26"/>
              </w:rPr>
            </w:pPr>
            <w:r w:rsidRPr="00ED4603">
              <w:rPr>
                <w:rFonts w:ascii="Times New Roman" w:hAnsi="Times New Roman" w:cs="Times New Roman"/>
                <w:sz w:val="26"/>
                <w:szCs w:val="26"/>
              </w:rPr>
              <w:t>малой организации</w:t>
            </w:r>
          </w:p>
        </w:tc>
      </w:tr>
      <w:tr w:rsidR="00A9159B" w:rsidRPr="00ED4603" w:rsidTr="00A9159B">
        <w:trPr>
          <w:jc w:val="center"/>
        </w:trPr>
        <w:tc>
          <w:tcPr>
            <w:tcW w:w="3097" w:type="dxa"/>
          </w:tcPr>
          <w:p w:rsidR="00A9159B" w:rsidRPr="00ED4603" w:rsidRDefault="00A9159B" w:rsidP="00B97558">
            <w:pPr>
              <w:jc w:val="both"/>
              <w:rPr>
                <w:rFonts w:ascii="Times New Roman" w:hAnsi="Times New Roman" w:cs="Times New Roman"/>
                <w:sz w:val="26"/>
                <w:szCs w:val="26"/>
              </w:rPr>
            </w:pPr>
            <w:r w:rsidRPr="00ED4603">
              <w:rPr>
                <w:rFonts w:ascii="Times New Roman" w:hAnsi="Times New Roman" w:cs="Times New Roman"/>
                <w:sz w:val="26"/>
                <w:szCs w:val="26"/>
              </w:rPr>
              <w:t>Целевое использование средств</w:t>
            </w:r>
          </w:p>
        </w:tc>
        <w:tc>
          <w:tcPr>
            <w:tcW w:w="3123" w:type="dxa"/>
          </w:tcPr>
          <w:p w:rsidR="00A9159B" w:rsidRPr="00ED4603" w:rsidRDefault="00A9159B" w:rsidP="00F93996">
            <w:pPr>
              <w:jc w:val="both"/>
              <w:rPr>
                <w:rFonts w:ascii="Times New Roman" w:hAnsi="Times New Roman" w:cs="Times New Roman"/>
                <w:sz w:val="26"/>
                <w:szCs w:val="26"/>
              </w:rPr>
            </w:pPr>
          </w:p>
        </w:tc>
        <w:tc>
          <w:tcPr>
            <w:tcW w:w="9133" w:type="dxa"/>
            <w:gridSpan w:val="3"/>
          </w:tcPr>
          <w:p w:rsidR="00A9159B" w:rsidRPr="00ED4603" w:rsidRDefault="00A9159B" w:rsidP="00F93996">
            <w:pPr>
              <w:jc w:val="both"/>
              <w:rPr>
                <w:rFonts w:ascii="Times New Roman" w:hAnsi="Times New Roman" w:cs="Times New Roman"/>
                <w:sz w:val="26"/>
                <w:szCs w:val="26"/>
              </w:rPr>
            </w:pPr>
            <w:proofErr w:type="gramStart"/>
            <w:r w:rsidRPr="00ED4603">
              <w:rPr>
                <w:rFonts w:ascii="Times New Roman" w:hAnsi="Times New Roman" w:cs="Times New Roman"/>
                <w:sz w:val="26"/>
                <w:szCs w:val="26"/>
              </w:rPr>
              <w:t>Финансирование затрат субъектов МСП на приобретение (реконструкцию, модернизацию, строительство, капитальный ремонт) основных средств (зданий, сооружений, машин, в том числе автотранспортных средств, оборудования) для их производственной деятельности или деятельности по оказанию услуг</w:t>
            </w:r>
            <w:proofErr w:type="gramEnd"/>
          </w:p>
        </w:tc>
      </w:tr>
      <w:tr w:rsidR="00A9159B" w:rsidRPr="00ED4603" w:rsidTr="00DC5048">
        <w:trPr>
          <w:jc w:val="center"/>
        </w:trPr>
        <w:tc>
          <w:tcPr>
            <w:tcW w:w="3097" w:type="dxa"/>
          </w:tcPr>
          <w:p w:rsidR="00A9159B" w:rsidRPr="00ED4603" w:rsidRDefault="00A9159B" w:rsidP="00317899">
            <w:pPr>
              <w:jc w:val="both"/>
              <w:rPr>
                <w:rFonts w:ascii="Times New Roman" w:hAnsi="Times New Roman" w:cs="Times New Roman"/>
                <w:sz w:val="26"/>
                <w:szCs w:val="26"/>
              </w:rPr>
            </w:pPr>
            <w:r w:rsidRPr="00ED4603">
              <w:rPr>
                <w:rFonts w:ascii="Times New Roman" w:hAnsi="Times New Roman" w:cs="Times New Roman"/>
                <w:sz w:val="26"/>
                <w:szCs w:val="26"/>
              </w:rPr>
              <w:t>Целевой сегмент субъектов МСП</w:t>
            </w:r>
          </w:p>
        </w:tc>
        <w:tc>
          <w:tcPr>
            <w:tcW w:w="3123" w:type="dxa"/>
          </w:tcPr>
          <w:p w:rsidR="00A9159B" w:rsidRPr="00ED4603" w:rsidRDefault="00A9159B" w:rsidP="00B97558">
            <w:pPr>
              <w:rPr>
                <w:rFonts w:ascii="Times New Roman" w:hAnsi="Times New Roman" w:cs="Times New Roman"/>
                <w:sz w:val="26"/>
                <w:szCs w:val="26"/>
              </w:rPr>
            </w:pPr>
            <w:r w:rsidRPr="00ED4603">
              <w:rPr>
                <w:rFonts w:ascii="Times New Roman" w:hAnsi="Times New Roman" w:cs="Times New Roman"/>
                <w:sz w:val="26"/>
                <w:szCs w:val="26"/>
              </w:rPr>
              <w:t>–</w:t>
            </w:r>
          </w:p>
        </w:tc>
        <w:tc>
          <w:tcPr>
            <w:tcW w:w="9133" w:type="dxa"/>
            <w:gridSpan w:val="3"/>
          </w:tcPr>
          <w:p w:rsidR="002C5037" w:rsidRPr="003142EA" w:rsidRDefault="005A077F" w:rsidP="00A80649">
            <w:pPr>
              <w:jc w:val="both"/>
              <w:rPr>
                <w:rFonts w:ascii="Times New Roman" w:hAnsi="Times New Roman" w:cs="Times New Roman"/>
                <w:sz w:val="26"/>
                <w:szCs w:val="26"/>
              </w:rPr>
            </w:pPr>
            <w:r w:rsidRPr="003142EA">
              <w:rPr>
                <w:rFonts w:ascii="Times New Roman" w:hAnsi="Times New Roman" w:cs="Times New Roman"/>
                <w:sz w:val="26"/>
                <w:szCs w:val="26"/>
              </w:rPr>
              <w:t xml:space="preserve">Субъекты МСП: основной вид экономической </w:t>
            </w:r>
            <w:r w:rsidRPr="006724D8">
              <w:rPr>
                <w:rFonts w:ascii="Times New Roman" w:hAnsi="Times New Roman" w:cs="Times New Roman"/>
                <w:sz w:val="26"/>
                <w:szCs w:val="26"/>
              </w:rPr>
              <w:t>деятельности относится к секциям</w:t>
            </w:r>
            <w:proofErr w:type="gramStart"/>
            <w:r w:rsidRPr="006724D8">
              <w:rPr>
                <w:rFonts w:ascii="Times New Roman" w:hAnsi="Times New Roman" w:cs="Times New Roman"/>
                <w:sz w:val="26"/>
                <w:szCs w:val="26"/>
              </w:rPr>
              <w:t xml:space="preserve"> А</w:t>
            </w:r>
            <w:proofErr w:type="gramEnd"/>
            <w:r w:rsidRPr="006724D8">
              <w:rPr>
                <w:rFonts w:ascii="Times New Roman" w:hAnsi="Times New Roman" w:cs="Times New Roman"/>
                <w:sz w:val="26"/>
                <w:szCs w:val="26"/>
              </w:rPr>
              <w:t xml:space="preserve"> – </w:t>
            </w:r>
            <w:r w:rsidRPr="006724D8">
              <w:rPr>
                <w:rFonts w:ascii="Times New Roman" w:hAnsi="Times New Roman" w:cs="Times New Roman"/>
                <w:sz w:val="26"/>
                <w:szCs w:val="26"/>
                <w:lang w:val="en-US"/>
              </w:rPr>
              <w:t>F</w:t>
            </w:r>
            <w:r w:rsidRPr="006724D8">
              <w:rPr>
                <w:rFonts w:ascii="Times New Roman" w:hAnsi="Times New Roman" w:cs="Times New Roman"/>
                <w:sz w:val="26"/>
                <w:szCs w:val="26"/>
              </w:rPr>
              <w:t>,  к группам 502, 527 секции G, секции H, секции I,  группам 722 (за исключением класса 7221), 723, 724, 731, 742, 743, 747, 748 (за исключением классов 7485, 7486, 7487) секции K, секции M, секции N, разделам 90, 92 (за исключением класса 9271), 93 секции О, согласно ОКЭД</w:t>
            </w:r>
            <w:r w:rsidRPr="006724D8">
              <w:rPr>
                <w:rStyle w:val="a5"/>
                <w:rFonts w:ascii="Times New Roman" w:hAnsi="Times New Roman" w:cs="Times New Roman"/>
                <w:sz w:val="26"/>
                <w:szCs w:val="26"/>
              </w:rPr>
              <w:footnoteReference w:id="1"/>
            </w:r>
            <w:r w:rsidRPr="006724D8">
              <w:rPr>
                <w:rFonts w:ascii="Times New Roman" w:hAnsi="Times New Roman" w:cs="Times New Roman"/>
                <w:sz w:val="26"/>
                <w:szCs w:val="26"/>
              </w:rPr>
              <w:t xml:space="preserve"> и/или вид экономической деятельности для реализации </w:t>
            </w:r>
            <w:proofErr w:type="spellStart"/>
            <w:r w:rsidRPr="006724D8">
              <w:rPr>
                <w:rFonts w:ascii="Times New Roman" w:hAnsi="Times New Roman" w:cs="Times New Roman"/>
                <w:sz w:val="26"/>
                <w:szCs w:val="26"/>
              </w:rPr>
              <w:t>Субпроекта</w:t>
            </w:r>
            <w:proofErr w:type="spellEnd"/>
            <w:r w:rsidRPr="006724D8">
              <w:rPr>
                <w:rFonts w:ascii="Times New Roman" w:hAnsi="Times New Roman" w:cs="Times New Roman"/>
                <w:sz w:val="26"/>
                <w:szCs w:val="26"/>
              </w:rPr>
              <w:t xml:space="preserve"> относится к секциям</w:t>
            </w:r>
            <w:proofErr w:type="gramStart"/>
            <w:r w:rsidRPr="006724D8">
              <w:rPr>
                <w:rFonts w:ascii="Times New Roman" w:hAnsi="Times New Roman" w:cs="Times New Roman"/>
                <w:sz w:val="26"/>
                <w:szCs w:val="26"/>
              </w:rPr>
              <w:t xml:space="preserve"> А</w:t>
            </w:r>
            <w:proofErr w:type="gramEnd"/>
            <w:r w:rsidRPr="006724D8">
              <w:rPr>
                <w:rFonts w:ascii="Times New Roman" w:hAnsi="Times New Roman" w:cs="Times New Roman"/>
                <w:sz w:val="26"/>
                <w:szCs w:val="26"/>
              </w:rPr>
              <w:t xml:space="preserve"> – </w:t>
            </w:r>
            <w:r w:rsidRPr="006724D8">
              <w:rPr>
                <w:rFonts w:ascii="Times New Roman" w:hAnsi="Times New Roman" w:cs="Times New Roman"/>
                <w:sz w:val="26"/>
                <w:szCs w:val="26"/>
                <w:lang w:val="en-US"/>
              </w:rPr>
              <w:t>F</w:t>
            </w:r>
            <w:r w:rsidRPr="006724D8">
              <w:rPr>
                <w:rFonts w:ascii="Times New Roman" w:hAnsi="Times New Roman" w:cs="Times New Roman"/>
                <w:sz w:val="26"/>
                <w:szCs w:val="26"/>
              </w:rPr>
              <w:t>,  к группам 502, 527 секции G, секции H, секции I,  группам 722 (за исключением класса 7221), 723, 724, 731, 742, 743, 747, 748 (за исключением классов 7485, 7486, 7487) секции K, секции M, секции N, разделам 90, 92 (за исключением класса 9271), 93 секции О, согласно ОКЭД.</w:t>
            </w:r>
          </w:p>
        </w:tc>
      </w:tr>
      <w:tr w:rsidR="00A9159B" w:rsidRPr="00ED4603" w:rsidTr="000C0504">
        <w:trPr>
          <w:jc w:val="center"/>
        </w:trPr>
        <w:tc>
          <w:tcPr>
            <w:tcW w:w="3097" w:type="dxa"/>
          </w:tcPr>
          <w:p w:rsidR="00A9159B" w:rsidRPr="00ED4603" w:rsidRDefault="00A9159B" w:rsidP="00B97558">
            <w:pPr>
              <w:jc w:val="both"/>
              <w:rPr>
                <w:rFonts w:ascii="Times New Roman" w:hAnsi="Times New Roman" w:cs="Times New Roman"/>
                <w:sz w:val="26"/>
                <w:szCs w:val="26"/>
              </w:rPr>
            </w:pPr>
            <w:r w:rsidRPr="00ED4603">
              <w:rPr>
                <w:rFonts w:ascii="Times New Roman" w:hAnsi="Times New Roman" w:cs="Times New Roman"/>
                <w:sz w:val="26"/>
                <w:szCs w:val="26"/>
              </w:rPr>
              <w:t>Срок финансирования</w:t>
            </w:r>
          </w:p>
        </w:tc>
        <w:tc>
          <w:tcPr>
            <w:tcW w:w="3123" w:type="dxa"/>
          </w:tcPr>
          <w:p w:rsidR="00A9159B" w:rsidRPr="00ED4603" w:rsidRDefault="00A9159B" w:rsidP="005E67E1">
            <w:pPr>
              <w:jc w:val="both"/>
              <w:rPr>
                <w:rFonts w:ascii="Times New Roman" w:hAnsi="Times New Roman" w:cs="Times New Roman"/>
                <w:sz w:val="26"/>
                <w:szCs w:val="26"/>
              </w:rPr>
            </w:pPr>
            <w:r w:rsidRPr="00BF0BD0">
              <w:rPr>
                <w:rFonts w:ascii="Times New Roman" w:hAnsi="Times New Roman" w:cs="Times New Roman"/>
                <w:sz w:val="26"/>
                <w:szCs w:val="26"/>
                <w:highlight w:val="yellow"/>
              </w:rPr>
              <w:t>До 5 лет</w:t>
            </w:r>
            <w:r w:rsidRPr="00ED4603">
              <w:rPr>
                <w:rFonts w:ascii="Times New Roman" w:hAnsi="Times New Roman" w:cs="Times New Roman"/>
                <w:sz w:val="26"/>
                <w:szCs w:val="26"/>
              </w:rPr>
              <w:t xml:space="preserve"> </w:t>
            </w:r>
          </w:p>
        </w:tc>
        <w:tc>
          <w:tcPr>
            <w:tcW w:w="9133" w:type="dxa"/>
            <w:gridSpan w:val="3"/>
          </w:tcPr>
          <w:p w:rsidR="00A9159B" w:rsidRPr="00560589" w:rsidRDefault="00A9159B" w:rsidP="00B97558">
            <w:pPr>
              <w:jc w:val="both"/>
              <w:rPr>
                <w:rFonts w:ascii="Times New Roman" w:hAnsi="Times New Roman" w:cs="Times New Roman"/>
                <w:sz w:val="26"/>
                <w:szCs w:val="26"/>
              </w:rPr>
            </w:pPr>
            <w:r>
              <w:rPr>
                <w:rFonts w:ascii="Times New Roman" w:hAnsi="Times New Roman" w:cs="Times New Roman"/>
                <w:sz w:val="26"/>
                <w:szCs w:val="26"/>
              </w:rPr>
              <w:t>Не ограничен</w:t>
            </w:r>
          </w:p>
        </w:tc>
      </w:tr>
      <w:tr w:rsidR="00A9159B" w:rsidRPr="00ED4603" w:rsidTr="00923662">
        <w:trPr>
          <w:jc w:val="center"/>
        </w:trPr>
        <w:tc>
          <w:tcPr>
            <w:tcW w:w="3097" w:type="dxa"/>
          </w:tcPr>
          <w:p w:rsidR="00A9159B" w:rsidRPr="00ED4603" w:rsidRDefault="00A9159B" w:rsidP="00B97558">
            <w:pPr>
              <w:jc w:val="both"/>
              <w:rPr>
                <w:rFonts w:ascii="Times New Roman" w:hAnsi="Times New Roman" w:cs="Times New Roman"/>
                <w:sz w:val="26"/>
                <w:szCs w:val="26"/>
              </w:rPr>
            </w:pPr>
            <w:r w:rsidRPr="00ED4603">
              <w:rPr>
                <w:rFonts w:ascii="Times New Roman" w:hAnsi="Times New Roman" w:cs="Times New Roman"/>
                <w:sz w:val="26"/>
                <w:szCs w:val="26"/>
              </w:rPr>
              <w:t xml:space="preserve">Валюта финансируемых средств </w:t>
            </w:r>
          </w:p>
        </w:tc>
        <w:tc>
          <w:tcPr>
            <w:tcW w:w="12256" w:type="dxa"/>
            <w:gridSpan w:val="4"/>
          </w:tcPr>
          <w:p w:rsidR="00A9159B" w:rsidRPr="000B2FFC" w:rsidRDefault="00A9159B" w:rsidP="006724D8">
            <w:pPr>
              <w:jc w:val="both"/>
              <w:rPr>
                <w:rFonts w:ascii="Times New Roman" w:hAnsi="Times New Roman" w:cs="Times New Roman"/>
                <w:sz w:val="26"/>
                <w:szCs w:val="26"/>
              </w:rPr>
            </w:pPr>
            <w:r w:rsidRPr="00ED4603">
              <w:rPr>
                <w:rFonts w:ascii="Times New Roman" w:hAnsi="Times New Roman" w:cs="Times New Roman"/>
                <w:sz w:val="26"/>
                <w:szCs w:val="26"/>
              </w:rPr>
              <w:t>Белорусские рубли</w:t>
            </w:r>
          </w:p>
        </w:tc>
      </w:tr>
      <w:tr w:rsidR="00D443A1" w:rsidRPr="00ED4603" w:rsidTr="00423B79">
        <w:trPr>
          <w:jc w:val="center"/>
        </w:trPr>
        <w:tc>
          <w:tcPr>
            <w:tcW w:w="3097" w:type="dxa"/>
          </w:tcPr>
          <w:p w:rsidR="00D443A1" w:rsidRPr="00ED4603" w:rsidRDefault="00D443A1" w:rsidP="00D9784B">
            <w:pPr>
              <w:jc w:val="both"/>
              <w:rPr>
                <w:rFonts w:ascii="Times New Roman" w:hAnsi="Times New Roman" w:cs="Times New Roman"/>
                <w:sz w:val="26"/>
                <w:szCs w:val="26"/>
              </w:rPr>
            </w:pPr>
            <w:r w:rsidRPr="00ED4603">
              <w:rPr>
                <w:rFonts w:ascii="Times New Roman" w:hAnsi="Times New Roman" w:cs="Times New Roman"/>
                <w:sz w:val="26"/>
                <w:szCs w:val="26"/>
              </w:rPr>
              <w:t>Сумма финансирования</w:t>
            </w:r>
          </w:p>
        </w:tc>
        <w:tc>
          <w:tcPr>
            <w:tcW w:w="3123" w:type="dxa"/>
          </w:tcPr>
          <w:p w:rsidR="00D443A1" w:rsidRPr="00ED4603" w:rsidRDefault="00D443A1" w:rsidP="00B97558">
            <w:pPr>
              <w:jc w:val="both"/>
              <w:rPr>
                <w:rFonts w:ascii="Times New Roman" w:hAnsi="Times New Roman" w:cs="Times New Roman"/>
                <w:sz w:val="26"/>
                <w:szCs w:val="26"/>
              </w:rPr>
            </w:pPr>
            <w:r w:rsidRPr="00ED4603">
              <w:rPr>
                <w:rFonts w:ascii="Times New Roman" w:hAnsi="Times New Roman" w:cs="Times New Roman"/>
                <w:sz w:val="26"/>
                <w:szCs w:val="26"/>
              </w:rPr>
              <w:t>–</w:t>
            </w:r>
          </w:p>
        </w:tc>
        <w:tc>
          <w:tcPr>
            <w:tcW w:w="9133" w:type="dxa"/>
            <w:gridSpan w:val="3"/>
          </w:tcPr>
          <w:p w:rsidR="00D443A1" w:rsidRPr="006B5ED3" w:rsidRDefault="00D443A1" w:rsidP="003142EA">
            <w:pPr>
              <w:jc w:val="both"/>
              <w:rPr>
                <w:rFonts w:ascii="Times New Roman" w:hAnsi="Times New Roman" w:cs="Times New Roman"/>
                <w:sz w:val="26"/>
                <w:szCs w:val="26"/>
              </w:rPr>
            </w:pPr>
            <w:r w:rsidRPr="00BF0BD0">
              <w:rPr>
                <w:rFonts w:ascii="Times New Roman" w:hAnsi="Times New Roman" w:cs="Times New Roman"/>
                <w:sz w:val="26"/>
                <w:szCs w:val="26"/>
                <w:highlight w:val="yellow"/>
              </w:rPr>
              <w:t xml:space="preserve">Не более 2 </w:t>
            </w:r>
            <w:proofErr w:type="gramStart"/>
            <w:r w:rsidRPr="00BF0BD0">
              <w:rPr>
                <w:rFonts w:ascii="Times New Roman" w:hAnsi="Times New Roman" w:cs="Times New Roman"/>
                <w:sz w:val="26"/>
                <w:szCs w:val="26"/>
                <w:highlight w:val="yellow"/>
              </w:rPr>
              <w:t>млрд</w:t>
            </w:r>
            <w:proofErr w:type="gramEnd"/>
            <w:r w:rsidRPr="00BF0BD0">
              <w:rPr>
                <w:rFonts w:ascii="Times New Roman" w:hAnsi="Times New Roman" w:cs="Times New Roman"/>
                <w:sz w:val="26"/>
                <w:szCs w:val="26"/>
                <w:highlight w:val="yellow"/>
              </w:rPr>
              <w:t xml:space="preserve"> белорусских рублей</w:t>
            </w:r>
          </w:p>
        </w:tc>
      </w:tr>
      <w:tr w:rsidR="00A9159B" w:rsidRPr="00ED4603" w:rsidTr="000D47CE">
        <w:trPr>
          <w:jc w:val="center"/>
        </w:trPr>
        <w:tc>
          <w:tcPr>
            <w:tcW w:w="3097" w:type="dxa"/>
          </w:tcPr>
          <w:p w:rsidR="00A9159B" w:rsidRPr="00ED4603" w:rsidRDefault="00A9159B" w:rsidP="00B97558">
            <w:pPr>
              <w:jc w:val="both"/>
              <w:rPr>
                <w:rFonts w:ascii="Times New Roman" w:hAnsi="Times New Roman" w:cs="Times New Roman"/>
                <w:sz w:val="26"/>
                <w:szCs w:val="26"/>
              </w:rPr>
            </w:pPr>
            <w:r w:rsidRPr="00ED4603">
              <w:rPr>
                <w:rFonts w:ascii="Times New Roman" w:hAnsi="Times New Roman" w:cs="Times New Roman"/>
                <w:sz w:val="26"/>
                <w:szCs w:val="26"/>
              </w:rPr>
              <w:t>Процентная ставка за пользование средствами</w:t>
            </w:r>
          </w:p>
        </w:tc>
        <w:tc>
          <w:tcPr>
            <w:tcW w:w="3123" w:type="dxa"/>
          </w:tcPr>
          <w:p w:rsidR="00A9159B" w:rsidRPr="00BF0BD0" w:rsidRDefault="00F352B0" w:rsidP="00F352B0">
            <w:pPr>
              <w:jc w:val="both"/>
              <w:rPr>
                <w:rFonts w:ascii="Times New Roman" w:hAnsi="Times New Roman" w:cs="Times New Roman"/>
                <w:sz w:val="26"/>
                <w:szCs w:val="26"/>
                <w:highlight w:val="yellow"/>
              </w:rPr>
            </w:pPr>
            <w:r w:rsidRPr="00BF0BD0">
              <w:rPr>
                <w:rFonts w:ascii="Times New Roman" w:hAnsi="Times New Roman" w:cs="Times New Roman"/>
                <w:sz w:val="26"/>
                <w:szCs w:val="26"/>
                <w:highlight w:val="yellow"/>
              </w:rPr>
              <w:t xml:space="preserve">0,5 ставки рефинансирования </w:t>
            </w:r>
            <w:r w:rsidRPr="00BF0BD0">
              <w:rPr>
                <w:rFonts w:ascii="Times New Roman" w:hAnsi="Times New Roman" w:cs="Times New Roman"/>
                <w:sz w:val="26"/>
                <w:szCs w:val="26"/>
                <w:highlight w:val="yellow"/>
              </w:rPr>
              <w:lastRenderedPageBreak/>
              <w:t>Национального банка Республики Беларусь</w:t>
            </w:r>
            <w:r w:rsidR="00D9784B" w:rsidRPr="00BF0BD0">
              <w:rPr>
                <w:rStyle w:val="a5"/>
                <w:rFonts w:ascii="Times New Roman" w:hAnsi="Times New Roman" w:cs="Times New Roman"/>
                <w:sz w:val="26"/>
                <w:szCs w:val="26"/>
                <w:highlight w:val="yellow"/>
              </w:rPr>
              <w:footnoteReference w:id="2"/>
            </w:r>
          </w:p>
        </w:tc>
        <w:tc>
          <w:tcPr>
            <w:tcW w:w="9133" w:type="dxa"/>
            <w:gridSpan w:val="3"/>
          </w:tcPr>
          <w:p w:rsidR="00A9159B" w:rsidRPr="00BF0BD0" w:rsidRDefault="00F352B0" w:rsidP="00D9784B">
            <w:pPr>
              <w:jc w:val="both"/>
              <w:rPr>
                <w:rFonts w:ascii="Times New Roman" w:hAnsi="Times New Roman" w:cs="Times New Roman"/>
                <w:sz w:val="26"/>
                <w:szCs w:val="26"/>
                <w:highlight w:val="yellow"/>
              </w:rPr>
            </w:pPr>
            <w:r w:rsidRPr="00BF0BD0">
              <w:rPr>
                <w:rFonts w:ascii="Times New Roman" w:hAnsi="Times New Roman" w:cs="Times New Roman"/>
                <w:sz w:val="26"/>
                <w:szCs w:val="26"/>
                <w:highlight w:val="yellow"/>
              </w:rPr>
              <w:lastRenderedPageBreak/>
              <w:t>Не более ставки установленной для Банка-партнера</w:t>
            </w:r>
            <w:r w:rsidR="00C45553" w:rsidRPr="00BF0BD0">
              <w:rPr>
                <w:rFonts w:ascii="Times New Roman" w:hAnsi="Times New Roman" w:cs="Times New Roman"/>
                <w:sz w:val="26"/>
                <w:szCs w:val="26"/>
                <w:highlight w:val="yellow"/>
              </w:rPr>
              <w:t>,</w:t>
            </w:r>
            <w:r w:rsidRPr="00BF0BD0">
              <w:rPr>
                <w:rFonts w:ascii="Times New Roman" w:hAnsi="Times New Roman" w:cs="Times New Roman"/>
                <w:sz w:val="26"/>
                <w:szCs w:val="26"/>
                <w:highlight w:val="yellow"/>
              </w:rPr>
              <w:t xml:space="preserve"> увеличенной на 4,5 </w:t>
            </w:r>
            <w:r w:rsidR="00D9784B" w:rsidRPr="00BF0BD0">
              <w:rPr>
                <w:rFonts w:ascii="Times New Roman" w:hAnsi="Times New Roman" w:cs="Times New Roman"/>
                <w:sz w:val="26"/>
                <w:szCs w:val="26"/>
                <w:highlight w:val="yellow"/>
              </w:rPr>
              <w:t>процентных пунктов</w:t>
            </w:r>
          </w:p>
        </w:tc>
      </w:tr>
      <w:tr w:rsidR="00A9159B" w:rsidRPr="00ED4603" w:rsidTr="004B50F7">
        <w:trPr>
          <w:jc w:val="center"/>
        </w:trPr>
        <w:tc>
          <w:tcPr>
            <w:tcW w:w="3097" w:type="dxa"/>
          </w:tcPr>
          <w:p w:rsidR="00A9159B" w:rsidRPr="00ED4603" w:rsidRDefault="00A9159B" w:rsidP="00B97558">
            <w:pPr>
              <w:jc w:val="both"/>
              <w:rPr>
                <w:rFonts w:ascii="Times New Roman" w:hAnsi="Times New Roman" w:cs="Times New Roman"/>
                <w:sz w:val="26"/>
                <w:szCs w:val="26"/>
              </w:rPr>
            </w:pPr>
            <w:r w:rsidRPr="00ED4603">
              <w:rPr>
                <w:rFonts w:ascii="Times New Roman" w:hAnsi="Times New Roman" w:cs="Times New Roman"/>
                <w:sz w:val="26"/>
                <w:szCs w:val="26"/>
              </w:rPr>
              <w:lastRenderedPageBreak/>
              <w:t>Доля участия собственными средствами в финансировании кредитуемого проекта</w:t>
            </w:r>
          </w:p>
        </w:tc>
        <w:tc>
          <w:tcPr>
            <w:tcW w:w="3123" w:type="dxa"/>
          </w:tcPr>
          <w:p w:rsidR="00A9159B" w:rsidRPr="00ED4603" w:rsidRDefault="00A9159B" w:rsidP="00B97558">
            <w:pPr>
              <w:jc w:val="both"/>
              <w:rPr>
                <w:rFonts w:ascii="Times New Roman" w:hAnsi="Times New Roman" w:cs="Times New Roman"/>
                <w:sz w:val="26"/>
                <w:szCs w:val="26"/>
              </w:rPr>
            </w:pPr>
            <w:r w:rsidRPr="00ED4603">
              <w:rPr>
                <w:rFonts w:ascii="Times New Roman" w:hAnsi="Times New Roman" w:cs="Times New Roman"/>
                <w:sz w:val="26"/>
                <w:szCs w:val="26"/>
              </w:rPr>
              <w:t>–</w:t>
            </w:r>
          </w:p>
        </w:tc>
        <w:tc>
          <w:tcPr>
            <w:tcW w:w="9133" w:type="dxa"/>
            <w:gridSpan w:val="3"/>
          </w:tcPr>
          <w:p w:rsidR="00A9159B" w:rsidRPr="006B5ED3" w:rsidRDefault="00A9159B" w:rsidP="005E67E1">
            <w:pPr>
              <w:jc w:val="both"/>
              <w:rPr>
                <w:rFonts w:ascii="Times New Roman" w:hAnsi="Times New Roman" w:cs="Times New Roman"/>
                <w:sz w:val="26"/>
                <w:szCs w:val="26"/>
              </w:rPr>
            </w:pPr>
            <w:r w:rsidRPr="00BF0BD0">
              <w:rPr>
                <w:rFonts w:ascii="Times New Roman" w:hAnsi="Times New Roman" w:cs="Times New Roman"/>
                <w:sz w:val="26"/>
                <w:szCs w:val="26"/>
                <w:highlight w:val="yellow"/>
              </w:rPr>
              <w:t xml:space="preserve">Не менее </w:t>
            </w:r>
            <w:r w:rsidR="006B5ED3" w:rsidRPr="00BF0BD0">
              <w:rPr>
                <w:rFonts w:ascii="Times New Roman" w:hAnsi="Times New Roman" w:cs="Times New Roman"/>
                <w:sz w:val="26"/>
                <w:szCs w:val="26"/>
                <w:highlight w:val="yellow"/>
              </w:rPr>
              <w:t>20</w:t>
            </w:r>
            <w:r w:rsidRPr="00BF0BD0">
              <w:rPr>
                <w:rFonts w:ascii="Times New Roman" w:hAnsi="Times New Roman" w:cs="Times New Roman"/>
                <w:sz w:val="26"/>
                <w:szCs w:val="26"/>
                <w:highlight w:val="yellow"/>
              </w:rPr>
              <w:t>%</w:t>
            </w:r>
          </w:p>
          <w:p w:rsidR="00A9159B" w:rsidRPr="006B5ED3" w:rsidRDefault="00A9159B" w:rsidP="00B97558">
            <w:pPr>
              <w:jc w:val="both"/>
              <w:rPr>
                <w:rFonts w:ascii="Times New Roman" w:hAnsi="Times New Roman" w:cs="Times New Roman"/>
                <w:sz w:val="26"/>
                <w:szCs w:val="26"/>
              </w:rPr>
            </w:pPr>
          </w:p>
        </w:tc>
      </w:tr>
      <w:tr w:rsidR="00A9159B" w:rsidRPr="00ED4603" w:rsidTr="00446566">
        <w:trPr>
          <w:jc w:val="center"/>
        </w:trPr>
        <w:tc>
          <w:tcPr>
            <w:tcW w:w="3097" w:type="dxa"/>
          </w:tcPr>
          <w:p w:rsidR="00A9159B" w:rsidRPr="00ED4603" w:rsidRDefault="00A9159B" w:rsidP="00B97558">
            <w:pPr>
              <w:jc w:val="both"/>
              <w:rPr>
                <w:rFonts w:ascii="Times New Roman" w:hAnsi="Times New Roman" w:cs="Times New Roman"/>
                <w:sz w:val="26"/>
                <w:szCs w:val="26"/>
              </w:rPr>
            </w:pPr>
            <w:r w:rsidRPr="00ED4603">
              <w:rPr>
                <w:rFonts w:ascii="Times New Roman" w:hAnsi="Times New Roman" w:cs="Times New Roman"/>
                <w:sz w:val="26"/>
                <w:szCs w:val="26"/>
              </w:rPr>
              <w:t xml:space="preserve">Отсрочка погашения обязательств </w:t>
            </w:r>
          </w:p>
        </w:tc>
        <w:tc>
          <w:tcPr>
            <w:tcW w:w="3123" w:type="dxa"/>
          </w:tcPr>
          <w:p w:rsidR="00A9159B" w:rsidRPr="00ED4603" w:rsidRDefault="00A9159B" w:rsidP="00B97558">
            <w:pPr>
              <w:jc w:val="both"/>
              <w:rPr>
                <w:rFonts w:ascii="Times New Roman" w:hAnsi="Times New Roman" w:cs="Times New Roman"/>
                <w:sz w:val="26"/>
                <w:szCs w:val="26"/>
              </w:rPr>
            </w:pPr>
            <w:r>
              <w:rPr>
                <w:rFonts w:ascii="Times New Roman" w:hAnsi="Times New Roman" w:cs="Times New Roman"/>
                <w:sz w:val="26"/>
                <w:szCs w:val="26"/>
              </w:rPr>
              <w:t xml:space="preserve">Отсрочка возврата вклада (депозита) до 36 месяцев </w:t>
            </w:r>
            <w:proofErr w:type="gramStart"/>
            <w:r>
              <w:rPr>
                <w:rFonts w:ascii="Times New Roman" w:hAnsi="Times New Roman" w:cs="Times New Roman"/>
                <w:sz w:val="26"/>
                <w:szCs w:val="26"/>
              </w:rPr>
              <w:t>с даты подписания</w:t>
            </w:r>
            <w:proofErr w:type="gramEnd"/>
            <w:r>
              <w:rPr>
                <w:rFonts w:ascii="Times New Roman" w:hAnsi="Times New Roman" w:cs="Times New Roman"/>
                <w:sz w:val="26"/>
                <w:szCs w:val="26"/>
              </w:rPr>
              <w:t xml:space="preserve"> Соглашения</w:t>
            </w:r>
          </w:p>
        </w:tc>
        <w:tc>
          <w:tcPr>
            <w:tcW w:w="9133" w:type="dxa"/>
            <w:gridSpan w:val="3"/>
          </w:tcPr>
          <w:p w:rsidR="00A9159B" w:rsidRPr="00ED4603" w:rsidRDefault="00A9159B" w:rsidP="00560589">
            <w:pPr>
              <w:jc w:val="both"/>
              <w:rPr>
                <w:rFonts w:ascii="Times New Roman" w:hAnsi="Times New Roman" w:cs="Times New Roman"/>
                <w:sz w:val="26"/>
                <w:szCs w:val="26"/>
              </w:rPr>
            </w:pPr>
            <w:r w:rsidRPr="00ED4603">
              <w:rPr>
                <w:rFonts w:ascii="Times New Roman" w:hAnsi="Times New Roman" w:cs="Times New Roman"/>
                <w:sz w:val="26"/>
                <w:szCs w:val="26"/>
              </w:rPr>
              <w:t>Допускается отсрочка погашения обязательств по упл</w:t>
            </w:r>
            <w:r>
              <w:rPr>
                <w:rFonts w:ascii="Times New Roman" w:hAnsi="Times New Roman" w:cs="Times New Roman"/>
                <w:sz w:val="26"/>
                <w:szCs w:val="26"/>
              </w:rPr>
              <w:t>ате основного долга сроком до 24</w:t>
            </w:r>
            <w:r w:rsidRPr="00ED4603">
              <w:rPr>
                <w:rFonts w:ascii="Times New Roman" w:hAnsi="Times New Roman" w:cs="Times New Roman"/>
                <w:sz w:val="26"/>
                <w:szCs w:val="26"/>
              </w:rPr>
              <w:t xml:space="preserve"> месяцев включительно с момента окончания периода выборки кредита </w:t>
            </w:r>
            <w:proofErr w:type="spellStart"/>
            <w:r w:rsidRPr="00ED4603">
              <w:rPr>
                <w:rFonts w:ascii="Times New Roman" w:hAnsi="Times New Roman" w:cs="Times New Roman"/>
                <w:sz w:val="26"/>
                <w:szCs w:val="26"/>
              </w:rPr>
              <w:t>Субзаемщиком</w:t>
            </w:r>
            <w:proofErr w:type="spellEnd"/>
            <w:r>
              <w:rPr>
                <w:rFonts w:ascii="Times New Roman" w:hAnsi="Times New Roman" w:cs="Times New Roman"/>
                <w:sz w:val="26"/>
                <w:szCs w:val="26"/>
              </w:rPr>
              <w:t xml:space="preserve"> в зависимости от цели финансирования</w:t>
            </w:r>
          </w:p>
        </w:tc>
      </w:tr>
      <w:tr w:rsidR="00A9159B" w:rsidRPr="00ED4603" w:rsidTr="00F020DD">
        <w:trPr>
          <w:jc w:val="center"/>
        </w:trPr>
        <w:tc>
          <w:tcPr>
            <w:tcW w:w="3097" w:type="dxa"/>
            <w:vMerge w:val="restart"/>
          </w:tcPr>
          <w:p w:rsidR="00A9159B" w:rsidRPr="00ED4603" w:rsidRDefault="00A9159B" w:rsidP="00B97558">
            <w:pPr>
              <w:jc w:val="both"/>
              <w:rPr>
                <w:rFonts w:ascii="Times New Roman" w:hAnsi="Times New Roman" w:cs="Times New Roman"/>
                <w:sz w:val="26"/>
                <w:szCs w:val="26"/>
              </w:rPr>
            </w:pPr>
            <w:r w:rsidRPr="00ED4603">
              <w:rPr>
                <w:rFonts w:ascii="Times New Roman" w:hAnsi="Times New Roman" w:cs="Times New Roman"/>
                <w:sz w:val="26"/>
                <w:szCs w:val="26"/>
              </w:rPr>
              <w:t>Дополнительное условие</w:t>
            </w:r>
          </w:p>
        </w:tc>
        <w:tc>
          <w:tcPr>
            <w:tcW w:w="12256" w:type="dxa"/>
            <w:gridSpan w:val="4"/>
          </w:tcPr>
          <w:p w:rsidR="00A9159B" w:rsidRPr="00ED4603" w:rsidRDefault="00A9159B" w:rsidP="005729E8">
            <w:pPr>
              <w:jc w:val="both"/>
              <w:rPr>
                <w:rFonts w:ascii="Times New Roman" w:hAnsi="Times New Roman" w:cs="Times New Roman"/>
                <w:sz w:val="26"/>
                <w:szCs w:val="26"/>
              </w:rPr>
            </w:pPr>
            <w:r w:rsidRPr="00ED4603">
              <w:rPr>
                <w:rFonts w:ascii="Times New Roman" w:hAnsi="Times New Roman" w:cs="Times New Roman"/>
                <w:sz w:val="26"/>
                <w:szCs w:val="26"/>
              </w:rPr>
              <w:t xml:space="preserve">Перечень документов, предоставляемых Субъектом МСП для рассмотрения вопроса о целесообразности выдачи кредита, в обязательном порядке должен включать обоснование финансовой реализуемости </w:t>
            </w:r>
            <w:proofErr w:type="spellStart"/>
            <w:r w:rsidRPr="00ED4603">
              <w:rPr>
                <w:rFonts w:ascii="Times New Roman" w:hAnsi="Times New Roman" w:cs="Times New Roman"/>
                <w:sz w:val="26"/>
                <w:szCs w:val="26"/>
              </w:rPr>
              <w:t>Субпроекта</w:t>
            </w:r>
            <w:proofErr w:type="spellEnd"/>
            <w:r w:rsidRPr="00ED4603">
              <w:rPr>
                <w:rFonts w:ascii="Times New Roman" w:hAnsi="Times New Roman" w:cs="Times New Roman"/>
                <w:sz w:val="26"/>
                <w:szCs w:val="26"/>
              </w:rPr>
              <w:t xml:space="preserve">, содержащее информацию об оценке ожидаемых объемов реализации продукции и услуг, которые предполагается производить или оказывать по результатам реализации </w:t>
            </w:r>
            <w:proofErr w:type="spellStart"/>
            <w:r w:rsidRPr="00ED4603">
              <w:rPr>
                <w:rFonts w:ascii="Times New Roman" w:hAnsi="Times New Roman" w:cs="Times New Roman"/>
                <w:sz w:val="26"/>
                <w:szCs w:val="26"/>
              </w:rPr>
              <w:t>Субпроекта</w:t>
            </w:r>
            <w:proofErr w:type="spellEnd"/>
            <w:r w:rsidRPr="00ED4603">
              <w:rPr>
                <w:rFonts w:ascii="Times New Roman" w:hAnsi="Times New Roman" w:cs="Times New Roman"/>
                <w:sz w:val="26"/>
                <w:szCs w:val="26"/>
              </w:rPr>
              <w:t xml:space="preserve">, потенциальных потребителях, оценке ожидаемых финансовых результатов </w:t>
            </w:r>
            <w:proofErr w:type="spellStart"/>
            <w:r w:rsidRPr="00ED4603">
              <w:rPr>
                <w:rFonts w:ascii="Times New Roman" w:hAnsi="Times New Roman" w:cs="Times New Roman"/>
                <w:sz w:val="26"/>
                <w:szCs w:val="26"/>
              </w:rPr>
              <w:t>Субпроекта</w:t>
            </w:r>
            <w:proofErr w:type="spellEnd"/>
          </w:p>
        </w:tc>
      </w:tr>
      <w:tr w:rsidR="006240AF" w:rsidRPr="00ED4603" w:rsidTr="00F020DD">
        <w:trPr>
          <w:jc w:val="center"/>
        </w:trPr>
        <w:tc>
          <w:tcPr>
            <w:tcW w:w="3097" w:type="dxa"/>
            <w:vMerge/>
          </w:tcPr>
          <w:p w:rsidR="006240AF" w:rsidRPr="00ED4603" w:rsidRDefault="006240AF" w:rsidP="00B97558">
            <w:pPr>
              <w:jc w:val="both"/>
              <w:rPr>
                <w:rFonts w:ascii="Times New Roman" w:hAnsi="Times New Roman" w:cs="Times New Roman"/>
                <w:sz w:val="26"/>
                <w:szCs w:val="26"/>
              </w:rPr>
            </w:pPr>
          </w:p>
        </w:tc>
        <w:tc>
          <w:tcPr>
            <w:tcW w:w="12256" w:type="dxa"/>
            <w:gridSpan w:val="4"/>
          </w:tcPr>
          <w:p w:rsidR="00D9784B" w:rsidRPr="006B5ED3" w:rsidRDefault="00D9784B" w:rsidP="00D9784B">
            <w:pPr>
              <w:tabs>
                <w:tab w:val="left" w:pos="284"/>
              </w:tabs>
              <w:contextualSpacing/>
              <w:jc w:val="both"/>
              <w:rPr>
                <w:rFonts w:ascii="Times New Roman" w:hAnsi="Times New Roman" w:cs="Times New Roman"/>
                <w:sz w:val="26"/>
                <w:szCs w:val="26"/>
              </w:rPr>
            </w:pPr>
            <w:r w:rsidRPr="006B5ED3">
              <w:rPr>
                <w:rFonts w:ascii="Times New Roman" w:hAnsi="Times New Roman" w:cs="Times New Roman"/>
                <w:sz w:val="26"/>
                <w:szCs w:val="26"/>
              </w:rPr>
              <w:t xml:space="preserve">К </w:t>
            </w:r>
            <w:r w:rsidRPr="006B5ED3">
              <w:rPr>
                <w:rFonts w:ascii="Times New Roman" w:hAnsi="Times New Roman" w:cs="Times New Roman"/>
                <w:sz w:val="26"/>
                <w:szCs w:val="26"/>
                <w:lang w:val="en-US"/>
              </w:rPr>
              <w:t>Start</w:t>
            </w:r>
            <w:r w:rsidRPr="006B5ED3">
              <w:rPr>
                <w:rFonts w:ascii="Times New Roman" w:hAnsi="Times New Roman" w:cs="Times New Roman"/>
                <w:sz w:val="26"/>
                <w:szCs w:val="26"/>
              </w:rPr>
              <w:t>-</w:t>
            </w:r>
            <w:r w:rsidRPr="006B5ED3">
              <w:rPr>
                <w:rFonts w:ascii="Times New Roman" w:hAnsi="Times New Roman" w:cs="Times New Roman"/>
                <w:sz w:val="26"/>
                <w:szCs w:val="26"/>
                <w:lang w:val="en-US"/>
              </w:rPr>
              <w:t>up</w:t>
            </w:r>
            <w:r w:rsidRPr="006B5ED3">
              <w:rPr>
                <w:rFonts w:ascii="Times New Roman" w:hAnsi="Times New Roman" w:cs="Times New Roman"/>
                <w:sz w:val="26"/>
                <w:szCs w:val="26"/>
              </w:rPr>
              <w:t xml:space="preserve"> компаниям в рамках финансовой поддержки субъектов МСП относятся:</w:t>
            </w:r>
          </w:p>
          <w:p w:rsidR="00D9784B" w:rsidRPr="006B5ED3" w:rsidRDefault="00D9784B" w:rsidP="00D9784B">
            <w:pPr>
              <w:tabs>
                <w:tab w:val="left" w:pos="284"/>
              </w:tabs>
              <w:contextualSpacing/>
              <w:jc w:val="both"/>
              <w:rPr>
                <w:rFonts w:ascii="Times New Roman" w:hAnsi="Times New Roman" w:cs="Times New Roman"/>
                <w:sz w:val="26"/>
                <w:szCs w:val="26"/>
              </w:rPr>
            </w:pPr>
            <w:r w:rsidRPr="006B5ED3">
              <w:rPr>
                <w:rFonts w:ascii="Times New Roman" w:hAnsi="Times New Roman" w:cs="Times New Roman"/>
                <w:sz w:val="26"/>
                <w:szCs w:val="26"/>
              </w:rPr>
              <w:t xml:space="preserve">- вновь созданные организации или вновь зарегистрированные индивидуальные предприниматели, осуществляющие деятельность менее одного года с момента регистрации; </w:t>
            </w:r>
          </w:p>
          <w:p w:rsidR="006240AF" w:rsidRPr="006B5ED3" w:rsidRDefault="00D9784B" w:rsidP="00D9784B">
            <w:pPr>
              <w:jc w:val="both"/>
              <w:rPr>
                <w:rFonts w:ascii="Times New Roman" w:hAnsi="Times New Roman" w:cs="Times New Roman"/>
                <w:sz w:val="26"/>
                <w:szCs w:val="26"/>
              </w:rPr>
            </w:pPr>
            <w:r w:rsidRPr="006B5ED3">
              <w:rPr>
                <w:rFonts w:ascii="Times New Roman" w:hAnsi="Times New Roman" w:cs="Times New Roman"/>
                <w:sz w:val="26"/>
                <w:szCs w:val="26"/>
              </w:rPr>
              <w:t xml:space="preserve">- юридические лица и индивидуальные предприниматели с момента </w:t>
            </w:r>
            <w:proofErr w:type="gramStart"/>
            <w:r w:rsidRPr="006B5ED3">
              <w:rPr>
                <w:rFonts w:ascii="Times New Roman" w:hAnsi="Times New Roman" w:cs="Times New Roman"/>
                <w:sz w:val="26"/>
                <w:szCs w:val="26"/>
              </w:rPr>
              <w:t>регистрации</w:t>
            </w:r>
            <w:proofErr w:type="gramEnd"/>
            <w:r w:rsidRPr="006B5ED3">
              <w:rPr>
                <w:rFonts w:ascii="Times New Roman" w:hAnsi="Times New Roman" w:cs="Times New Roman"/>
                <w:sz w:val="26"/>
                <w:szCs w:val="26"/>
              </w:rPr>
              <w:t xml:space="preserve"> которых истек один год, при этом финансово-хозяйственная деятельность не осуществляется</w:t>
            </w:r>
          </w:p>
        </w:tc>
      </w:tr>
      <w:tr w:rsidR="00D443A1" w:rsidRPr="00ED4603" w:rsidTr="00F020DD">
        <w:trPr>
          <w:jc w:val="center"/>
        </w:trPr>
        <w:tc>
          <w:tcPr>
            <w:tcW w:w="3097" w:type="dxa"/>
            <w:vMerge/>
          </w:tcPr>
          <w:p w:rsidR="00D443A1" w:rsidRPr="00ED4603" w:rsidRDefault="00D443A1" w:rsidP="00B97558">
            <w:pPr>
              <w:jc w:val="both"/>
              <w:rPr>
                <w:rFonts w:ascii="Times New Roman" w:hAnsi="Times New Roman" w:cs="Times New Roman"/>
                <w:sz w:val="26"/>
                <w:szCs w:val="26"/>
              </w:rPr>
            </w:pPr>
          </w:p>
        </w:tc>
        <w:tc>
          <w:tcPr>
            <w:tcW w:w="12256" w:type="dxa"/>
            <w:gridSpan w:val="4"/>
          </w:tcPr>
          <w:p w:rsidR="00F9685C" w:rsidRDefault="00F9685C" w:rsidP="00F9685C">
            <w:pPr>
              <w:tabs>
                <w:tab w:val="left" w:pos="284"/>
              </w:tabs>
              <w:contextualSpacing/>
              <w:jc w:val="both"/>
              <w:rPr>
                <w:rFonts w:ascii="Times New Roman" w:hAnsi="Times New Roman" w:cs="Times New Roman"/>
                <w:sz w:val="26"/>
                <w:szCs w:val="26"/>
              </w:rPr>
            </w:pPr>
            <w:r>
              <w:rPr>
                <w:rFonts w:ascii="Times New Roman" w:hAnsi="Times New Roman" w:cs="Times New Roman"/>
                <w:sz w:val="26"/>
                <w:szCs w:val="26"/>
              </w:rPr>
              <w:t xml:space="preserve">Условиями кредитного договора предусматривается обязанность </w:t>
            </w:r>
            <w:proofErr w:type="spellStart"/>
            <w:r>
              <w:rPr>
                <w:rFonts w:ascii="Times New Roman" w:hAnsi="Times New Roman" w:cs="Times New Roman"/>
                <w:sz w:val="26"/>
                <w:szCs w:val="26"/>
              </w:rPr>
              <w:t>Субзаемщика</w:t>
            </w:r>
            <w:proofErr w:type="spellEnd"/>
            <w:r>
              <w:rPr>
                <w:rFonts w:ascii="Times New Roman" w:hAnsi="Times New Roman" w:cs="Times New Roman"/>
                <w:sz w:val="26"/>
                <w:szCs w:val="26"/>
              </w:rPr>
              <w:t xml:space="preserve"> досрочно возвратить кредит в случае:</w:t>
            </w:r>
          </w:p>
          <w:p w:rsidR="00F9685C" w:rsidRDefault="00500313" w:rsidP="00F9685C">
            <w:pPr>
              <w:tabs>
                <w:tab w:val="left" w:pos="284"/>
              </w:tabs>
              <w:contextualSpacing/>
              <w:jc w:val="both"/>
              <w:rPr>
                <w:rFonts w:ascii="Times New Roman" w:hAnsi="Times New Roman" w:cs="Times New Roman"/>
                <w:sz w:val="26"/>
                <w:szCs w:val="26"/>
              </w:rPr>
            </w:pPr>
            <w:r>
              <w:rPr>
                <w:rFonts w:ascii="Times New Roman" w:hAnsi="Times New Roman" w:cs="Times New Roman"/>
                <w:sz w:val="26"/>
                <w:szCs w:val="26"/>
              </w:rPr>
              <w:t>1</w:t>
            </w:r>
            <w:r w:rsidRPr="00500313">
              <w:rPr>
                <w:rFonts w:ascii="Times New Roman" w:hAnsi="Times New Roman" w:cs="Times New Roman"/>
                <w:sz w:val="26"/>
                <w:szCs w:val="26"/>
              </w:rPr>
              <w:t>.</w:t>
            </w:r>
            <w:r w:rsidR="00F9685C">
              <w:rPr>
                <w:rFonts w:ascii="Times New Roman" w:hAnsi="Times New Roman" w:cs="Times New Roman"/>
                <w:sz w:val="26"/>
                <w:szCs w:val="26"/>
              </w:rPr>
              <w:t xml:space="preserve"> </w:t>
            </w:r>
            <w:r w:rsidR="00373540">
              <w:rPr>
                <w:rFonts w:ascii="Times New Roman" w:hAnsi="Times New Roman" w:cs="Times New Roman"/>
                <w:sz w:val="26"/>
                <w:szCs w:val="26"/>
              </w:rPr>
              <w:t>н</w:t>
            </w:r>
            <w:r w:rsidR="00D443A1">
              <w:rPr>
                <w:rFonts w:ascii="Times New Roman" w:hAnsi="Times New Roman" w:cs="Times New Roman"/>
                <w:sz w:val="26"/>
                <w:szCs w:val="26"/>
              </w:rPr>
              <w:t>ецелево</w:t>
            </w:r>
            <w:r w:rsidR="00373540">
              <w:rPr>
                <w:rFonts w:ascii="Times New Roman" w:hAnsi="Times New Roman" w:cs="Times New Roman"/>
                <w:sz w:val="26"/>
                <w:szCs w:val="26"/>
              </w:rPr>
              <w:t>го</w:t>
            </w:r>
            <w:r w:rsidR="00D443A1">
              <w:rPr>
                <w:rFonts w:ascii="Times New Roman" w:hAnsi="Times New Roman" w:cs="Times New Roman"/>
                <w:sz w:val="26"/>
                <w:szCs w:val="26"/>
              </w:rPr>
              <w:t xml:space="preserve"> использовани</w:t>
            </w:r>
            <w:r>
              <w:rPr>
                <w:rFonts w:ascii="Times New Roman" w:hAnsi="Times New Roman" w:cs="Times New Roman"/>
                <w:sz w:val="26"/>
                <w:szCs w:val="26"/>
              </w:rPr>
              <w:t>я средств;</w:t>
            </w:r>
            <w:r w:rsidR="00373540">
              <w:rPr>
                <w:rFonts w:ascii="Times New Roman" w:hAnsi="Times New Roman" w:cs="Times New Roman"/>
                <w:sz w:val="26"/>
                <w:szCs w:val="26"/>
              </w:rPr>
              <w:t xml:space="preserve"> </w:t>
            </w:r>
          </w:p>
          <w:p w:rsidR="00D443A1" w:rsidRDefault="00500313" w:rsidP="00F9685C">
            <w:pPr>
              <w:tabs>
                <w:tab w:val="left" w:pos="284"/>
              </w:tabs>
              <w:contextualSpacing/>
              <w:jc w:val="both"/>
              <w:rPr>
                <w:rFonts w:ascii="Times New Roman" w:hAnsi="Times New Roman" w:cs="Times New Roman"/>
                <w:sz w:val="26"/>
                <w:szCs w:val="26"/>
              </w:rPr>
            </w:pPr>
            <w:r>
              <w:rPr>
                <w:rFonts w:ascii="Times New Roman" w:hAnsi="Times New Roman" w:cs="Times New Roman"/>
                <w:sz w:val="26"/>
                <w:szCs w:val="26"/>
              </w:rPr>
              <w:t xml:space="preserve">2. </w:t>
            </w:r>
            <w:r w:rsidR="00F9685C">
              <w:rPr>
                <w:rFonts w:ascii="Times New Roman" w:hAnsi="Times New Roman" w:cs="Times New Roman"/>
                <w:sz w:val="26"/>
                <w:szCs w:val="26"/>
              </w:rPr>
              <w:t>п</w:t>
            </w:r>
            <w:r w:rsidR="0097265A">
              <w:rPr>
                <w:rFonts w:ascii="Times New Roman" w:hAnsi="Times New Roman" w:cs="Times New Roman"/>
                <w:sz w:val="26"/>
                <w:szCs w:val="26"/>
              </w:rPr>
              <w:t xml:space="preserve">рекращения </w:t>
            </w:r>
            <w:proofErr w:type="spellStart"/>
            <w:r w:rsidR="0097265A">
              <w:rPr>
                <w:rFonts w:ascii="Times New Roman" w:hAnsi="Times New Roman" w:cs="Times New Roman"/>
                <w:sz w:val="26"/>
                <w:szCs w:val="26"/>
              </w:rPr>
              <w:t>Субзаемщиком</w:t>
            </w:r>
            <w:proofErr w:type="spellEnd"/>
            <w:r w:rsidR="0097265A">
              <w:rPr>
                <w:rFonts w:ascii="Times New Roman" w:hAnsi="Times New Roman" w:cs="Times New Roman"/>
                <w:sz w:val="26"/>
                <w:szCs w:val="26"/>
              </w:rPr>
              <w:t xml:space="preserve"> деятельности, профинансированной</w:t>
            </w:r>
            <w:r>
              <w:rPr>
                <w:rFonts w:ascii="Times New Roman" w:hAnsi="Times New Roman" w:cs="Times New Roman"/>
                <w:sz w:val="26"/>
                <w:szCs w:val="26"/>
              </w:rPr>
              <w:t xml:space="preserve"> за счет средств Банка развития</w:t>
            </w:r>
            <w:r w:rsidR="00313D7F">
              <w:rPr>
                <w:rFonts w:ascii="Times New Roman" w:hAnsi="Times New Roman" w:cs="Times New Roman"/>
                <w:sz w:val="26"/>
                <w:szCs w:val="26"/>
              </w:rPr>
              <w:t xml:space="preserve"> (в том числе продажи</w:t>
            </w:r>
            <w:r>
              <w:rPr>
                <w:rFonts w:ascii="Times New Roman" w:hAnsi="Times New Roman" w:cs="Times New Roman"/>
                <w:sz w:val="26"/>
                <w:szCs w:val="26"/>
              </w:rPr>
              <w:t xml:space="preserve"> профинансированных основных средств);</w:t>
            </w:r>
            <w:r w:rsidR="00373540">
              <w:rPr>
                <w:rFonts w:ascii="Times New Roman" w:hAnsi="Times New Roman" w:cs="Times New Roman"/>
                <w:sz w:val="26"/>
                <w:szCs w:val="26"/>
              </w:rPr>
              <w:t xml:space="preserve">  </w:t>
            </w:r>
          </w:p>
          <w:p w:rsidR="00500313" w:rsidRDefault="00500313" w:rsidP="00F9685C">
            <w:pPr>
              <w:tabs>
                <w:tab w:val="left" w:pos="284"/>
              </w:tabs>
              <w:contextualSpacing/>
              <w:jc w:val="both"/>
              <w:rPr>
                <w:rFonts w:ascii="Times New Roman" w:hAnsi="Times New Roman" w:cs="Times New Roman"/>
                <w:sz w:val="26"/>
                <w:szCs w:val="26"/>
              </w:rPr>
            </w:pPr>
            <w:r>
              <w:rPr>
                <w:rFonts w:ascii="Times New Roman" w:hAnsi="Times New Roman" w:cs="Times New Roman"/>
                <w:sz w:val="26"/>
                <w:szCs w:val="26"/>
              </w:rPr>
              <w:t xml:space="preserve">3. не осуществления </w:t>
            </w:r>
            <w:proofErr w:type="spellStart"/>
            <w:r>
              <w:rPr>
                <w:rFonts w:ascii="Times New Roman" w:hAnsi="Times New Roman" w:cs="Times New Roman"/>
                <w:sz w:val="26"/>
                <w:szCs w:val="26"/>
              </w:rPr>
              <w:t>Субзаемщиком</w:t>
            </w:r>
            <w:proofErr w:type="spellEnd"/>
            <w:r>
              <w:rPr>
                <w:rFonts w:ascii="Times New Roman" w:hAnsi="Times New Roman" w:cs="Times New Roman"/>
                <w:sz w:val="26"/>
                <w:szCs w:val="26"/>
              </w:rPr>
              <w:t xml:space="preserve"> деятельности, профинансированной за счет средств Банка развития, после срока окончания предоставленной отсрочки погашения обязательств.</w:t>
            </w:r>
          </w:p>
          <w:p w:rsidR="00313D7F" w:rsidRPr="00D443A1" w:rsidRDefault="00B16464" w:rsidP="00B16464">
            <w:pPr>
              <w:tabs>
                <w:tab w:val="left" w:pos="284"/>
              </w:tabs>
              <w:contextualSpacing/>
              <w:jc w:val="both"/>
              <w:rPr>
                <w:rFonts w:ascii="Times New Roman" w:hAnsi="Times New Roman" w:cs="Times New Roman"/>
                <w:sz w:val="26"/>
                <w:szCs w:val="26"/>
              </w:rPr>
            </w:pPr>
            <w:r>
              <w:rPr>
                <w:rFonts w:ascii="Times New Roman" w:hAnsi="Times New Roman" w:cs="Times New Roman"/>
                <w:sz w:val="26"/>
                <w:szCs w:val="26"/>
              </w:rPr>
              <w:t xml:space="preserve">При возникновении указанных выше случаев </w:t>
            </w:r>
            <w:r w:rsidR="00313D7F">
              <w:rPr>
                <w:rFonts w:ascii="Times New Roman" w:hAnsi="Times New Roman" w:cs="Times New Roman"/>
                <w:sz w:val="26"/>
                <w:szCs w:val="26"/>
              </w:rPr>
              <w:t xml:space="preserve">Банк-партнер обязан досрочно вернуть Банку развития вклад (депозит) в сумме средств, предоставленных Банком развития для финансирования </w:t>
            </w:r>
            <w:proofErr w:type="spellStart"/>
            <w:r w:rsidR="00313D7F">
              <w:rPr>
                <w:rFonts w:ascii="Times New Roman" w:hAnsi="Times New Roman" w:cs="Times New Roman"/>
                <w:sz w:val="26"/>
                <w:szCs w:val="26"/>
              </w:rPr>
              <w:t>Субпроекта</w:t>
            </w:r>
            <w:proofErr w:type="spellEnd"/>
            <w:r w:rsidR="00313D7F">
              <w:rPr>
                <w:rFonts w:ascii="Times New Roman" w:hAnsi="Times New Roman" w:cs="Times New Roman"/>
                <w:sz w:val="26"/>
                <w:szCs w:val="26"/>
              </w:rPr>
              <w:t>.</w:t>
            </w:r>
          </w:p>
        </w:tc>
      </w:tr>
      <w:tr w:rsidR="00D443A1" w:rsidRPr="00ED4603" w:rsidTr="00F020DD">
        <w:trPr>
          <w:jc w:val="center"/>
        </w:trPr>
        <w:tc>
          <w:tcPr>
            <w:tcW w:w="3097" w:type="dxa"/>
            <w:vMerge/>
          </w:tcPr>
          <w:p w:rsidR="00D443A1" w:rsidRPr="00ED4603" w:rsidRDefault="00D443A1" w:rsidP="00B97558">
            <w:pPr>
              <w:jc w:val="both"/>
              <w:rPr>
                <w:rFonts w:ascii="Times New Roman" w:hAnsi="Times New Roman" w:cs="Times New Roman"/>
                <w:sz w:val="26"/>
                <w:szCs w:val="26"/>
              </w:rPr>
            </w:pPr>
          </w:p>
        </w:tc>
        <w:tc>
          <w:tcPr>
            <w:tcW w:w="12256" w:type="dxa"/>
            <w:gridSpan w:val="4"/>
          </w:tcPr>
          <w:p w:rsidR="00214F32" w:rsidRPr="00373540" w:rsidRDefault="00D443A1" w:rsidP="00214F32">
            <w:pPr>
              <w:tabs>
                <w:tab w:val="left" w:pos="284"/>
              </w:tabs>
              <w:contextualSpacing/>
              <w:jc w:val="both"/>
              <w:rPr>
                <w:rFonts w:ascii="Times New Roman" w:hAnsi="Times New Roman" w:cs="Times New Roman"/>
                <w:sz w:val="26"/>
                <w:szCs w:val="26"/>
              </w:rPr>
            </w:pPr>
            <w:r w:rsidRPr="00373540">
              <w:rPr>
                <w:rFonts w:ascii="Times New Roman" w:hAnsi="Times New Roman" w:cs="Times New Roman"/>
                <w:sz w:val="26"/>
                <w:szCs w:val="26"/>
              </w:rPr>
              <w:t xml:space="preserve">В рамках настоящего продукта запрещается финансирование </w:t>
            </w:r>
            <w:r w:rsidR="00214F32" w:rsidRPr="00373540">
              <w:rPr>
                <w:rFonts w:ascii="Times New Roman" w:hAnsi="Times New Roman" w:cs="Times New Roman"/>
                <w:sz w:val="26"/>
                <w:szCs w:val="26"/>
              </w:rPr>
              <w:t>С</w:t>
            </w:r>
            <w:r w:rsidRPr="00373540">
              <w:rPr>
                <w:rFonts w:ascii="Times New Roman" w:hAnsi="Times New Roman" w:cs="Times New Roman"/>
                <w:sz w:val="26"/>
                <w:szCs w:val="26"/>
              </w:rPr>
              <w:t>убъектов МСП если</w:t>
            </w:r>
            <w:r w:rsidR="00214F32" w:rsidRPr="00373540">
              <w:rPr>
                <w:rFonts w:ascii="Times New Roman" w:hAnsi="Times New Roman" w:cs="Times New Roman"/>
                <w:sz w:val="26"/>
                <w:szCs w:val="26"/>
              </w:rPr>
              <w:t>:</w:t>
            </w:r>
          </w:p>
          <w:p w:rsidR="00214F32" w:rsidRPr="00373540" w:rsidRDefault="00214F32" w:rsidP="00214F32">
            <w:pPr>
              <w:tabs>
                <w:tab w:val="left" w:pos="284"/>
              </w:tabs>
              <w:contextualSpacing/>
              <w:jc w:val="both"/>
              <w:rPr>
                <w:rFonts w:ascii="Times New Roman" w:hAnsi="Times New Roman" w:cs="Times New Roman"/>
                <w:sz w:val="26"/>
                <w:szCs w:val="26"/>
              </w:rPr>
            </w:pPr>
            <w:r w:rsidRPr="00373540">
              <w:rPr>
                <w:rFonts w:ascii="Times New Roman" w:hAnsi="Times New Roman" w:cs="Times New Roman"/>
                <w:sz w:val="26"/>
                <w:szCs w:val="26"/>
              </w:rPr>
              <w:t xml:space="preserve">- 25% и более его уставного фонда принадлежит юридическому лицу, средняя численность </w:t>
            </w:r>
            <w:proofErr w:type="gramStart"/>
            <w:r w:rsidRPr="00373540">
              <w:rPr>
                <w:rFonts w:ascii="Times New Roman" w:hAnsi="Times New Roman" w:cs="Times New Roman"/>
                <w:sz w:val="26"/>
                <w:szCs w:val="26"/>
              </w:rPr>
              <w:t>работников</w:t>
            </w:r>
            <w:proofErr w:type="gramEnd"/>
            <w:r w:rsidRPr="00373540">
              <w:rPr>
                <w:rFonts w:ascii="Times New Roman" w:hAnsi="Times New Roman" w:cs="Times New Roman"/>
                <w:sz w:val="26"/>
                <w:szCs w:val="26"/>
              </w:rPr>
              <w:t xml:space="preserve"> за </w:t>
            </w:r>
            <w:r w:rsidRPr="00373540">
              <w:rPr>
                <w:rFonts w:ascii="Times New Roman" w:hAnsi="Times New Roman" w:cs="Times New Roman"/>
                <w:sz w:val="26"/>
                <w:szCs w:val="26"/>
              </w:rPr>
              <w:lastRenderedPageBreak/>
              <w:t xml:space="preserve">предыдущий календарный год которого превышает 100 человек, и объем выручки от реализации продукции, товаров, работ, услуг (без учета НДС) за предыдущий календарный год превышает 72,8 млрд. белорусских рублей; </w:t>
            </w:r>
          </w:p>
          <w:p w:rsidR="00D443A1" w:rsidRDefault="00214F32" w:rsidP="00214F32">
            <w:pPr>
              <w:tabs>
                <w:tab w:val="left" w:pos="284"/>
              </w:tabs>
              <w:contextualSpacing/>
              <w:jc w:val="both"/>
              <w:rPr>
                <w:rFonts w:ascii="Times New Roman" w:hAnsi="Times New Roman" w:cs="Times New Roman"/>
                <w:sz w:val="26"/>
                <w:szCs w:val="26"/>
              </w:rPr>
            </w:pPr>
            <w:r w:rsidRPr="00373540">
              <w:rPr>
                <w:rFonts w:ascii="Times New Roman" w:hAnsi="Times New Roman" w:cs="Times New Roman"/>
                <w:sz w:val="26"/>
                <w:szCs w:val="26"/>
              </w:rPr>
              <w:t>-</w:t>
            </w:r>
            <w:r w:rsidR="00D443A1" w:rsidRPr="00373540">
              <w:rPr>
                <w:rFonts w:ascii="Times New Roman" w:hAnsi="Times New Roman" w:cs="Times New Roman"/>
                <w:sz w:val="26"/>
                <w:szCs w:val="26"/>
              </w:rPr>
              <w:t xml:space="preserve"> 25% и более его уставного фонда принадлежит физическому лицу, которое является владельцем 25 и более </w:t>
            </w:r>
            <w:r w:rsidRPr="00373540">
              <w:rPr>
                <w:rFonts w:ascii="Times New Roman" w:hAnsi="Times New Roman" w:cs="Times New Roman"/>
                <w:sz w:val="26"/>
                <w:szCs w:val="26"/>
              </w:rPr>
              <w:t xml:space="preserve">процентов </w:t>
            </w:r>
            <w:r w:rsidR="00D443A1" w:rsidRPr="00373540">
              <w:rPr>
                <w:rFonts w:ascii="Times New Roman" w:hAnsi="Times New Roman" w:cs="Times New Roman"/>
                <w:sz w:val="26"/>
                <w:szCs w:val="26"/>
              </w:rPr>
              <w:t xml:space="preserve">акций (долей, паев) другого юридического лица, </w:t>
            </w:r>
            <w:r w:rsidR="00373540" w:rsidRPr="00373540">
              <w:rPr>
                <w:rFonts w:ascii="Times New Roman" w:hAnsi="Times New Roman" w:cs="Times New Roman"/>
                <w:sz w:val="26"/>
                <w:szCs w:val="26"/>
              </w:rPr>
              <w:t xml:space="preserve">средняя численность </w:t>
            </w:r>
            <w:proofErr w:type="gramStart"/>
            <w:r w:rsidR="00373540" w:rsidRPr="00373540">
              <w:rPr>
                <w:rFonts w:ascii="Times New Roman" w:hAnsi="Times New Roman" w:cs="Times New Roman"/>
                <w:sz w:val="26"/>
                <w:szCs w:val="26"/>
              </w:rPr>
              <w:t>работников</w:t>
            </w:r>
            <w:proofErr w:type="gramEnd"/>
            <w:r w:rsidR="00373540" w:rsidRPr="00373540">
              <w:rPr>
                <w:rFonts w:ascii="Times New Roman" w:hAnsi="Times New Roman" w:cs="Times New Roman"/>
                <w:sz w:val="26"/>
                <w:szCs w:val="26"/>
              </w:rPr>
              <w:t xml:space="preserve"> за предыдущий календарный год которого превышает 100 человек, и объем выручки от реализации продукции, товаров, работ, услуг (без учета НДС) за предыдущий календарный год превышает 72,8 млрд. белорусских рублей.</w:t>
            </w:r>
          </w:p>
        </w:tc>
      </w:tr>
      <w:tr w:rsidR="00A9159B" w:rsidRPr="00ED4603" w:rsidTr="00DC0A33">
        <w:trPr>
          <w:jc w:val="center"/>
        </w:trPr>
        <w:tc>
          <w:tcPr>
            <w:tcW w:w="3097" w:type="dxa"/>
            <w:vMerge/>
          </w:tcPr>
          <w:p w:rsidR="00A9159B" w:rsidRPr="00ED4603" w:rsidRDefault="00A9159B" w:rsidP="00B97558">
            <w:pPr>
              <w:jc w:val="both"/>
              <w:rPr>
                <w:rFonts w:ascii="Times New Roman" w:hAnsi="Times New Roman" w:cs="Times New Roman"/>
                <w:sz w:val="26"/>
                <w:szCs w:val="26"/>
              </w:rPr>
            </w:pPr>
          </w:p>
        </w:tc>
        <w:tc>
          <w:tcPr>
            <w:tcW w:w="12256" w:type="dxa"/>
            <w:gridSpan w:val="4"/>
          </w:tcPr>
          <w:p w:rsidR="00A9159B" w:rsidRPr="006B5ED3" w:rsidRDefault="00A9159B" w:rsidP="00B97558">
            <w:pPr>
              <w:jc w:val="both"/>
              <w:rPr>
                <w:rFonts w:ascii="Times New Roman" w:hAnsi="Times New Roman" w:cs="Times New Roman"/>
                <w:sz w:val="26"/>
                <w:szCs w:val="26"/>
              </w:rPr>
            </w:pPr>
            <w:r w:rsidRPr="006B5ED3">
              <w:rPr>
                <w:rFonts w:ascii="Times New Roman" w:hAnsi="Times New Roman" w:cs="Times New Roman"/>
                <w:sz w:val="26"/>
                <w:szCs w:val="26"/>
              </w:rPr>
              <w:t xml:space="preserve">В рамках настоящего продукта запрещается финансирование проектов следующих видов деятельности: </w:t>
            </w:r>
          </w:p>
          <w:p w:rsidR="00A9159B" w:rsidRPr="006B5ED3" w:rsidRDefault="00A9159B" w:rsidP="00EB563F">
            <w:pPr>
              <w:ind w:firstLine="732"/>
              <w:jc w:val="both"/>
              <w:rPr>
                <w:rFonts w:ascii="Times New Roman" w:hAnsi="Times New Roman" w:cs="Times New Roman"/>
                <w:sz w:val="26"/>
                <w:szCs w:val="26"/>
              </w:rPr>
            </w:pPr>
            <w:r w:rsidRPr="006B5ED3">
              <w:rPr>
                <w:rFonts w:ascii="Times New Roman" w:hAnsi="Times New Roman" w:cs="Times New Roman"/>
                <w:sz w:val="26"/>
                <w:szCs w:val="26"/>
              </w:rPr>
              <w:t>– производство оружия и (или) военного снаряжения;</w:t>
            </w:r>
          </w:p>
          <w:p w:rsidR="00A9159B" w:rsidRPr="006B5ED3" w:rsidRDefault="00A9159B" w:rsidP="00EB563F">
            <w:pPr>
              <w:ind w:firstLine="732"/>
              <w:jc w:val="both"/>
              <w:rPr>
                <w:rFonts w:ascii="Times New Roman" w:hAnsi="Times New Roman" w:cs="Times New Roman"/>
                <w:sz w:val="26"/>
                <w:szCs w:val="26"/>
              </w:rPr>
            </w:pPr>
            <w:r w:rsidRPr="006B5ED3">
              <w:rPr>
                <w:rFonts w:ascii="Times New Roman" w:hAnsi="Times New Roman" w:cs="Times New Roman"/>
                <w:sz w:val="26"/>
                <w:szCs w:val="26"/>
              </w:rPr>
              <w:t>– производство и экспорт табачных изделий;</w:t>
            </w:r>
          </w:p>
          <w:p w:rsidR="00A9159B" w:rsidRPr="006B5ED3" w:rsidRDefault="00A9159B" w:rsidP="00EB563F">
            <w:pPr>
              <w:ind w:firstLine="732"/>
              <w:jc w:val="both"/>
              <w:rPr>
                <w:rFonts w:ascii="Times New Roman" w:hAnsi="Times New Roman" w:cs="Times New Roman"/>
                <w:sz w:val="26"/>
                <w:szCs w:val="26"/>
              </w:rPr>
            </w:pPr>
            <w:r w:rsidRPr="006B5ED3">
              <w:rPr>
                <w:rFonts w:ascii="Times New Roman" w:hAnsi="Times New Roman" w:cs="Times New Roman"/>
                <w:sz w:val="26"/>
                <w:szCs w:val="26"/>
              </w:rPr>
              <w:t>– производство алкогольных напитков;</w:t>
            </w:r>
          </w:p>
          <w:p w:rsidR="00A9159B" w:rsidRPr="006B5ED3" w:rsidRDefault="00A9159B" w:rsidP="002D2032">
            <w:pPr>
              <w:ind w:firstLine="732"/>
              <w:jc w:val="both"/>
              <w:rPr>
                <w:rFonts w:ascii="Times New Roman" w:hAnsi="Times New Roman" w:cs="Times New Roman"/>
                <w:sz w:val="26"/>
                <w:szCs w:val="26"/>
              </w:rPr>
            </w:pPr>
            <w:r w:rsidRPr="006B5ED3">
              <w:rPr>
                <w:rFonts w:ascii="Times New Roman" w:hAnsi="Times New Roman" w:cs="Times New Roman"/>
                <w:sz w:val="26"/>
                <w:szCs w:val="26"/>
              </w:rPr>
              <w:t>– </w:t>
            </w:r>
            <w:r w:rsidR="002D2032" w:rsidRPr="006B5ED3">
              <w:rPr>
                <w:rFonts w:ascii="Times New Roman" w:hAnsi="Times New Roman" w:cs="Times New Roman"/>
                <w:sz w:val="26"/>
                <w:szCs w:val="26"/>
              </w:rPr>
              <w:t>сфера</w:t>
            </w:r>
            <w:r w:rsidRPr="006B5ED3">
              <w:rPr>
                <w:rFonts w:ascii="Times New Roman" w:hAnsi="Times New Roman" w:cs="Times New Roman"/>
                <w:sz w:val="26"/>
                <w:szCs w:val="26"/>
              </w:rPr>
              <w:t xml:space="preserve"> игорного бизнеса, лотерейной деятельности, электронных интерактивных игр.</w:t>
            </w:r>
          </w:p>
        </w:tc>
      </w:tr>
    </w:tbl>
    <w:p w:rsidR="001138E3" w:rsidRDefault="001138E3" w:rsidP="00A551D6">
      <w:pPr>
        <w:pStyle w:val="ConsPlusTitle"/>
        <w:tabs>
          <w:tab w:val="left" w:pos="195"/>
          <w:tab w:val="center" w:pos="4677"/>
        </w:tabs>
        <w:ind w:left="10632"/>
        <w:jc w:val="right"/>
        <w:rPr>
          <w:rFonts w:ascii="Times New Roman" w:hAnsi="Times New Roman" w:cs="Times New Roman"/>
          <w:sz w:val="26"/>
          <w:szCs w:val="26"/>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19"/>
        <w:gridCol w:w="1896"/>
        <w:gridCol w:w="5716"/>
      </w:tblGrid>
      <w:tr w:rsidR="00C65418" w:rsidTr="00ED5C0B">
        <w:trPr>
          <w:trHeight w:val="271"/>
        </w:trPr>
        <w:tc>
          <w:tcPr>
            <w:tcW w:w="7019" w:type="dxa"/>
          </w:tcPr>
          <w:p w:rsidR="00C65418" w:rsidRDefault="00C65418" w:rsidP="00ED5C0B">
            <w:pPr>
              <w:rPr>
                <w:rFonts w:ascii="Times New Roman" w:hAnsi="Times New Roman" w:cs="Times New Roman"/>
                <w:sz w:val="28"/>
                <w:szCs w:val="28"/>
              </w:rPr>
            </w:pPr>
          </w:p>
        </w:tc>
        <w:tc>
          <w:tcPr>
            <w:tcW w:w="1896" w:type="dxa"/>
          </w:tcPr>
          <w:p w:rsidR="00C65418" w:rsidRDefault="00C65418" w:rsidP="00ED5C0B">
            <w:pPr>
              <w:rPr>
                <w:rFonts w:ascii="Times New Roman" w:hAnsi="Times New Roman" w:cs="Times New Roman"/>
                <w:sz w:val="28"/>
                <w:szCs w:val="28"/>
              </w:rPr>
            </w:pPr>
          </w:p>
        </w:tc>
        <w:tc>
          <w:tcPr>
            <w:tcW w:w="5716" w:type="dxa"/>
          </w:tcPr>
          <w:p w:rsidR="00C65418" w:rsidRDefault="00C65418" w:rsidP="00ED5C0B">
            <w:pPr>
              <w:rPr>
                <w:rFonts w:ascii="Times New Roman" w:hAnsi="Times New Roman" w:cs="Times New Roman"/>
                <w:sz w:val="28"/>
                <w:szCs w:val="28"/>
              </w:rPr>
            </w:pPr>
          </w:p>
        </w:tc>
      </w:tr>
      <w:tr w:rsidR="00C65418" w:rsidTr="00ED5C0B">
        <w:trPr>
          <w:trHeight w:val="271"/>
        </w:trPr>
        <w:tc>
          <w:tcPr>
            <w:tcW w:w="7019" w:type="dxa"/>
          </w:tcPr>
          <w:p w:rsidR="00C65418" w:rsidRDefault="00C65418" w:rsidP="00ED5C0B">
            <w:pPr>
              <w:rPr>
                <w:rFonts w:ascii="Times New Roman" w:hAnsi="Times New Roman" w:cs="Times New Roman"/>
                <w:sz w:val="28"/>
                <w:szCs w:val="28"/>
              </w:rPr>
            </w:pPr>
          </w:p>
        </w:tc>
        <w:tc>
          <w:tcPr>
            <w:tcW w:w="1896" w:type="dxa"/>
          </w:tcPr>
          <w:p w:rsidR="00C65418" w:rsidRDefault="00C65418" w:rsidP="00ED5C0B">
            <w:pPr>
              <w:rPr>
                <w:rFonts w:ascii="Times New Roman" w:hAnsi="Times New Roman" w:cs="Times New Roman"/>
                <w:sz w:val="28"/>
                <w:szCs w:val="28"/>
              </w:rPr>
            </w:pPr>
          </w:p>
        </w:tc>
        <w:tc>
          <w:tcPr>
            <w:tcW w:w="5716" w:type="dxa"/>
          </w:tcPr>
          <w:p w:rsidR="00C65418" w:rsidRDefault="00C65418" w:rsidP="00ED5C0B">
            <w:pPr>
              <w:rPr>
                <w:rFonts w:ascii="Times New Roman" w:hAnsi="Times New Roman" w:cs="Times New Roman"/>
                <w:sz w:val="28"/>
                <w:szCs w:val="28"/>
              </w:rPr>
            </w:pPr>
          </w:p>
        </w:tc>
      </w:tr>
      <w:tr w:rsidR="00C65418" w:rsidTr="00DA6490">
        <w:trPr>
          <w:trHeight w:val="1669"/>
        </w:trPr>
        <w:tc>
          <w:tcPr>
            <w:tcW w:w="7019" w:type="dxa"/>
          </w:tcPr>
          <w:p w:rsidR="00C65418" w:rsidRDefault="00C65418" w:rsidP="00ED5C0B">
            <w:pPr>
              <w:rPr>
                <w:rFonts w:ascii="Times New Roman" w:hAnsi="Times New Roman" w:cs="Times New Roman"/>
                <w:sz w:val="28"/>
                <w:szCs w:val="28"/>
              </w:rPr>
            </w:pPr>
          </w:p>
        </w:tc>
        <w:tc>
          <w:tcPr>
            <w:tcW w:w="1896" w:type="dxa"/>
          </w:tcPr>
          <w:p w:rsidR="00C65418" w:rsidRDefault="00C65418" w:rsidP="00ED5C0B">
            <w:pPr>
              <w:rPr>
                <w:rFonts w:ascii="Times New Roman" w:hAnsi="Times New Roman" w:cs="Times New Roman"/>
                <w:sz w:val="28"/>
                <w:szCs w:val="28"/>
              </w:rPr>
            </w:pPr>
          </w:p>
        </w:tc>
        <w:tc>
          <w:tcPr>
            <w:tcW w:w="5716" w:type="dxa"/>
          </w:tcPr>
          <w:p w:rsidR="00C65418" w:rsidRDefault="00C65418" w:rsidP="00ED5C0B">
            <w:pPr>
              <w:rPr>
                <w:rFonts w:ascii="Times New Roman" w:hAnsi="Times New Roman" w:cs="Times New Roman"/>
                <w:sz w:val="28"/>
                <w:szCs w:val="28"/>
              </w:rPr>
            </w:pPr>
          </w:p>
        </w:tc>
      </w:tr>
    </w:tbl>
    <w:p w:rsidR="00C65418" w:rsidRPr="00ED4603" w:rsidRDefault="00C65418" w:rsidP="00A551D6">
      <w:pPr>
        <w:pStyle w:val="ConsPlusTitle"/>
        <w:tabs>
          <w:tab w:val="left" w:pos="195"/>
          <w:tab w:val="center" w:pos="4677"/>
        </w:tabs>
        <w:ind w:left="10632"/>
        <w:jc w:val="right"/>
        <w:rPr>
          <w:rFonts w:ascii="Times New Roman" w:hAnsi="Times New Roman" w:cs="Times New Roman"/>
          <w:sz w:val="26"/>
          <w:szCs w:val="26"/>
        </w:rPr>
      </w:pPr>
    </w:p>
    <w:sectPr w:rsidR="00C65418" w:rsidRPr="00ED4603" w:rsidSect="00F511DC">
      <w:footnotePr>
        <w:numRestart w:val="eachSect"/>
      </w:footnotePr>
      <w:pgSz w:w="16838" w:h="11906" w:orient="landscape"/>
      <w:pgMar w:top="426"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A97" w:rsidRDefault="002E2A97" w:rsidP="001138E3">
      <w:pPr>
        <w:spacing w:after="0" w:line="240" w:lineRule="auto"/>
      </w:pPr>
      <w:r>
        <w:separator/>
      </w:r>
    </w:p>
  </w:endnote>
  <w:endnote w:type="continuationSeparator" w:id="0">
    <w:p w:rsidR="002E2A97" w:rsidRDefault="002E2A97" w:rsidP="00113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A97" w:rsidRDefault="002E2A97" w:rsidP="001138E3">
      <w:pPr>
        <w:spacing w:after="0" w:line="240" w:lineRule="auto"/>
      </w:pPr>
      <w:r>
        <w:separator/>
      </w:r>
    </w:p>
  </w:footnote>
  <w:footnote w:type="continuationSeparator" w:id="0">
    <w:p w:rsidR="002E2A97" w:rsidRDefault="002E2A97" w:rsidP="001138E3">
      <w:pPr>
        <w:spacing w:after="0" w:line="240" w:lineRule="auto"/>
      </w:pPr>
      <w:r>
        <w:continuationSeparator/>
      </w:r>
    </w:p>
  </w:footnote>
  <w:footnote w:id="1">
    <w:p w:rsidR="005A077F" w:rsidRPr="00D517C9" w:rsidRDefault="005A077F" w:rsidP="005A077F">
      <w:pPr>
        <w:pStyle w:val="a3"/>
        <w:rPr>
          <w:sz w:val="16"/>
          <w:szCs w:val="16"/>
        </w:rPr>
      </w:pPr>
      <w:r w:rsidRPr="00D517C9">
        <w:rPr>
          <w:rStyle w:val="a5"/>
          <w:sz w:val="16"/>
          <w:szCs w:val="16"/>
        </w:rPr>
        <w:footnoteRef/>
      </w:r>
      <w:r w:rsidRPr="00D517C9">
        <w:rPr>
          <w:sz w:val="16"/>
          <w:szCs w:val="16"/>
        </w:rPr>
        <w:t xml:space="preserve"> ОКЭД – Общегосударственный классификатор Республики Беларусь «Виды экономической деятельности»</w:t>
      </w:r>
    </w:p>
  </w:footnote>
  <w:footnote w:id="2">
    <w:p w:rsidR="00D9784B" w:rsidRDefault="00D9784B">
      <w:pPr>
        <w:pStyle w:val="a3"/>
      </w:pPr>
      <w:r>
        <w:rPr>
          <w:rStyle w:val="a5"/>
        </w:rPr>
        <w:footnoteRef/>
      </w:r>
      <w:r>
        <w:t xml:space="preserve"> </w:t>
      </w:r>
      <w:r w:rsidRPr="00D517C9">
        <w:rPr>
          <w:sz w:val="16"/>
          <w:szCs w:val="16"/>
        </w:rPr>
        <w:t xml:space="preserve">При изменении ставки рефинансирования новое значение процентной ставки применяется </w:t>
      </w:r>
      <w:proofErr w:type="gramStart"/>
      <w:r w:rsidRPr="00D517C9">
        <w:rPr>
          <w:sz w:val="16"/>
          <w:szCs w:val="16"/>
        </w:rPr>
        <w:t>с даты вступления</w:t>
      </w:r>
      <w:proofErr w:type="gramEnd"/>
      <w:r w:rsidRPr="00D517C9">
        <w:rPr>
          <w:sz w:val="16"/>
          <w:szCs w:val="16"/>
        </w:rPr>
        <w:t xml:space="preserve"> в силу соответствующего решения Национального банка Республики Беларусь</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012"/>
    <w:rsid w:val="00047B67"/>
    <w:rsid w:val="00077012"/>
    <w:rsid w:val="00090769"/>
    <w:rsid w:val="000A1C8C"/>
    <w:rsid w:val="000B2FFC"/>
    <w:rsid w:val="000C14AB"/>
    <w:rsid w:val="000C4DD8"/>
    <w:rsid w:val="000E55C1"/>
    <w:rsid w:val="000F6F19"/>
    <w:rsid w:val="001138E3"/>
    <w:rsid w:val="00175F66"/>
    <w:rsid w:val="001F073B"/>
    <w:rsid w:val="00214F32"/>
    <w:rsid w:val="002C5037"/>
    <w:rsid w:val="002D2032"/>
    <w:rsid w:val="002E2A97"/>
    <w:rsid w:val="00313D7F"/>
    <w:rsid w:val="003142EA"/>
    <w:rsid w:val="00317899"/>
    <w:rsid w:val="00373540"/>
    <w:rsid w:val="00386148"/>
    <w:rsid w:val="003E7497"/>
    <w:rsid w:val="00416818"/>
    <w:rsid w:val="00435324"/>
    <w:rsid w:val="004511BC"/>
    <w:rsid w:val="0047231E"/>
    <w:rsid w:val="00500313"/>
    <w:rsid w:val="00503139"/>
    <w:rsid w:val="00516486"/>
    <w:rsid w:val="005327BB"/>
    <w:rsid w:val="00560589"/>
    <w:rsid w:val="005729E8"/>
    <w:rsid w:val="005A077F"/>
    <w:rsid w:val="005D2CB2"/>
    <w:rsid w:val="005E67E1"/>
    <w:rsid w:val="006240AF"/>
    <w:rsid w:val="006724D8"/>
    <w:rsid w:val="0069029F"/>
    <w:rsid w:val="006913C1"/>
    <w:rsid w:val="006A0E36"/>
    <w:rsid w:val="006B5ED3"/>
    <w:rsid w:val="006D7713"/>
    <w:rsid w:val="006F11A9"/>
    <w:rsid w:val="00785712"/>
    <w:rsid w:val="007A5288"/>
    <w:rsid w:val="007B5A74"/>
    <w:rsid w:val="007C69AB"/>
    <w:rsid w:val="007D6C37"/>
    <w:rsid w:val="007F7F3C"/>
    <w:rsid w:val="00804EE4"/>
    <w:rsid w:val="008201A1"/>
    <w:rsid w:val="008523D0"/>
    <w:rsid w:val="008702F7"/>
    <w:rsid w:val="00870ECA"/>
    <w:rsid w:val="00895B22"/>
    <w:rsid w:val="00897DE9"/>
    <w:rsid w:val="00901172"/>
    <w:rsid w:val="00917F68"/>
    <w:rsid w:val="00941537"/>
    <w:rsid w:val="0097265A"/>
    <w:rsid w:val="00972AB8"/>
    <w:rsid w:val="00994D6E"/>
    <w:rsid w:val="009E7DAF"/>
    <w:rsid w:val="00A551D6"/>
    <w:rsid w:val="00A55FBC"/>
    <w:rsid w:val="00A80649"/>
    <w:rsid w:val="00A9159B"/>
    <w:rsid w:val="00AB417D"/>
    <w:rsid w:val="00B16464"/>
    <w:rsid w:val="00B20456"/>
    <w:rsid w:val="00B54208"/>
    <w:rsid w:val="00B645DA"/>
    <w:rsid w:val="00BE18C3"/>
    <w:rsid w:val="00BE5FC5"/>
    <w:rsid w:val="00BF0BD0"/>
    <w:rsid w:val="00C0510B"/>
    <w:rsid w:val="00C35763"/>
    <w:rsid w:val="00C45553"/>
    <w:rsid w:val="00C52A15"/>
    <w:rsid w:val="00C619ED"/>
    <w:rsid w:val="00C65418"/>
    <w:rsid w:val="00C87BE4"/>
    <w:rsid w:val="00CA7564"/>
    <w:rsid w:val="00CE5FF3"/>
    <w:rsid w:val="00CF7081"/>
    <w:rsid w:val="00CF775C"/>
    <w:rsid w:val="00D443A1"/>
    <w:rsid w:val="00D94B8C"/>
    <w:rsid w:val="00D94D0B"/>
    <w:rsid w:val="00D9784B"/>
    <w:rsid w:val="00DA6490"/>
    <w:rsid w:val="00DB2C61"/>
    <w:rsid w:val="00DE141A"/>
    <w:rsid w:val="00DE4069"/>
    <w:rsid w:val="00E10701"/>
    <w:rsid w:val="00E40057"/>
    <w:rsid w:val="00E430B9"/>
    <w:rsid w:val="00E73EFA"/>
    <w:rsid w:val="00E85D58"/>
    <w:rsid w:val="00E91B77"/>
    <w:rsid w:val="00EB563F"/>
    <w:rsid w:val="00ED3AFA"/>
    <w:rsid w:val="00ED4603"/>
    <w:rsid w:val="00ED7BAE"/>
    <w:rsid w:val="00EF41A9"/>
    <w:rsid w:val="00F352B0"/>
    <w:rsid w:val="00F43E44"/>
    <w:rsid w:val="00F511DC"/>
    <w:rsid w:val="00F93996"/>
    <w:rsid w:val="00F9685C"/>
    <w:rsid w:val="00FC6A86"/>
    <w:rsid w:val="00FE5424"/>
    <w:rsid w:val="00FE75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8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1138E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rsid w:val="001138E3"/>
    <w:rPr>
      <w:rFonts w:ascii="Times New Roman" w:eastAsia="Times New Roman" w:hAnsi="Times New Roman" w:cs="Times New Roman"/>
      <w:sz w:val="20"/>
      <w:szCs w:val="20"/>
      <w:lang w:eastAsia="ru-RU"/>
    </w:rPr>
  </w:style>
  <w:style w:type="character" w:styleId="a5">
    <w:name w:val="footnote reference"/>
    <w:semiHidden/>
    <w:rsid w:val="001138E3"/>
    <w:rPr>
      <w:vertAlign w:val="superscript"/>
    </w:rPr>
  </w:style>
  <w:style w:type="table" w:styleId="a6">
    <w:name w:val="Table Grid"/>
    <w:basedOn w:val="a1"/>
    <w:uiPriority w:val="59"/>
    <w:rsid w:val="001138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1138E3"/>
    <w:pPr>
      <w:widowControl w:val="0"/>
      <w:autoSpaceDE w:val="0"/>
      <w:autoSpaceDN w:val="0"/>
      <w:adjustRightInd w:val="0"/>
      <w:spacing w:after="0" w:line="240" w:lineRule="auto"/>
    </w:pPr>
    <w:rPr>
      <w:rFonts w:ascii="Calibri" w:eastAsiaTheme="minorEastAsia" w:hAnsi="Calibri" w:cs="Calibri"/>
      <w:b/>
      <w:bCs/>
      <w:lang w:eastAsia="ru-RU"/>
    </w:rPr>
  </w:style>
  <w:style w:type="paragraph" w:styleId="a7">
    <w:name w:val="Balloon Text"/>
    <w:basedOn w:val="a"/>
    <w:link w:val="a8"/>
    <w:uiPriority w:val="99"/>
    <w:semiHidden/>
    <w:unhideWhenUsed/>
    <w:rsid w:val="00870E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70ECA"/>
    <w:rPr>
      <w:rFonts w:ascii="Tahoma" w:hAnsi="Tahoma" w:cs="Tahoma"/>
      <w:sz w:val="16"/>
      <w:szCs w:val="16"/>
    </w:rPr>
  </w:style>
  <w:style w:type="paragraph" w:styleId="a9">
    <w:name w:val="endnote text"/>
    <w:basedOn w:val="a"/>
    <w:link w:val="aa"/>
    <w:uiPriority w:val="99"/>
    <w:semiHidden/>
    <w:unhideWhenUsed/>
    <w:rsid w:val="00901172"/>
    <w:pPr>
      <w:spacing w:after="0" w:line="240" w:lineRule="auto"/>
    </w:pPr>
    <w:rPr>
      <w:sz w:val="20"/>
      <w:szCs w:val="20"/>
    </w:rPr>
  </w:style>
  <w:style w:type="character" w:customStyle="1" w:styleId="aa">
    <w:name w:val="Текст концевой сноски Знак"/>
    <w:basedOn w:val="a0"/>
    <w:link w:val="a9"/>
    <w:uiPriority w:val="99"/>
    <w:semiHidden/>
    <w:rsid w:val="00901172"/>
    <w:rPr>
      <w:sz w:val="20"/>
      <w:szCs w:val="20"/>
    </w:rPr>
  </w:style>
  <w:style w:type="character" w:styleId="ab">
    <w:name w:val="endnote reference"/>
    <w:basedOn w:val="a0"/>
    <w:uiPriority w:val="99"/>
    <w:semiHidden/>
    <w:unhideWhenUsed/>
    <w:rsid w:val="00901172"/>
    <w:rPr>
      <w:vertAlign w:val="superscript"/>
    </w:rPr>
  </w:style>
  <w:style w:type="paragraph" w:styleId="HTML">
    <w:name w:val="HTML Preformatted"/>
    <w:basedOn w:val="a"/>
    <w:link w:val="HTML0"/>
    <w:rsid w:val="00C65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C65418"/>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8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1138E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rsid w:val="001138E3"/>
    <w:rPr>
      <w:rFonts w:ascii="Times New Roman" w:eastAsia="Times New Roman" w:hAnsi="Times New Roman" w:cs="Times New Roman"/>
      <w:sz w:val="20"/>
      <w:szCs w:val="20"/>
      <w:lang w:eastAsia="ru-RU"/>
    </w:rPr>
  </w:style>
  <w:style w:type="character" w:styleId="a5">
    <w:name w:val="footnote reference"/>
    <w:semiHidden/>
    <w:rsid w:val="001138E3"/>
    <w:rPr>
      <w:vertAlign w:val="superscript"/>
    </w:rPr>
  </w:style>
  <w:style w:type="table" w:styleId="a6">
    <w:name w:val="Table Grid"/>
    <w:basedOn w:val="a1"/>
    <w:uiPriority w:val="59"/>
    <w:rsid w:val="001138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1138E3"/>
    <w:pPr>
      <w:widowControl w:val="0"/>
      <w:autoSpaceDE w:val="0"/>
      <w:autoSpaceDN w:val="0"/>
      <w:adjustRightInd w:val="0"/>
      <w:spacing w:after="0" w:line="240" w:lineRule="auto"/>
    </w:pPr>
    <w:rPr>
      <w:rFonts w:ascii="Calibri" w:eastAsiaTheme="minorEastAsia" w:hAnsi="Calibri" w:cs="Calibri"/>
      <w:b/>
      <w:bCs/>
      <w:lang w:eastAsia="ru-RU"/>
    </w:rPr>
  </w:style>
  <w:style w:type="paragraph" w:styleId="a7">
    <w:name w:val="Balloon Text"/>
    <w:basedOn w:val="a"/>
    <w:link w:val="a8"/>
    <w:uiPriority w:val="99"/>
    <w:semiHidden/>
    <w:unhideWhenUsed/>
    <w:rsid w:val="00870E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70ECA"/>
    <w:rPr>
      <w:rFonts w:ascii="Tahoma" w:hAnsi="Tahoma" w:cs="Tahoma"/>
      <w:sz w:val="16"/>
      <w:szCs w:val="16"/>
    </w:rPr>
  </w:style>
  <w:style w:type="paragraph" w:styleId="a9">
    <w:name w:val="endnote text"/>
    <w:basedOn w:val="a"/>
    <w:link w:val="aa"/>
    <w:uiPriority w:val="99"/>
    <w:semiHidden/>
    <w:unhideWhenUsed/>
    <w:rsid w:val="00901172"/>
    <w:pPr>
      <w:spacing w:after="0" w:line="240" w:lineRule="auto"/>
    </w:pPr>
    <w:rPr>
      <w:sz w:val="20"/>
      <w:szCs w:val="20"/>
    </w:rPr>
  </w:style>
  <w:style w:type="character" w:customStyle="1" w:styleId="aa">
    <w:name w:val="Текст концевой сноски Знак"/>
    <w:basedOn w:val="a0"/>
    <w:link w:val="a9"/>
    <w:uiPriority w:val="99"/>
    <w:semiHidden/>
    <w:rsid w:val="00901172"/>
    <w:rPr>
      <w:sz w:val="20"/>
      <w:szCs w:val="20"/>
    </w:rPr>
  </w:style>
  <w:style w:type="character" w:styleId="ab">
    <w:name w:val="endnote reference"/>
    <w:basedOn w:val="a0"/>
    <w:uiPriority w:val="99"/>
    <w:semiHidden/>
    <w:unhideWhenUsed/>
    <w:rsid w:val="00901172"/>
    <w:rPr>
      <w:vertAlign w:val="superscript"/>
    </w:rPr>
  </w:style>
  <w:style w:type="paragraph" w:styleId="HTML">
    <w:name w:val="HTML Preformatted"/>
    <w:basedOn w:val="a"/>
    <w:link w:val="HTML0"/>
    <w:rsid w:val="00C65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C65418"/>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7A568-1D09-4037-B1A6-5CA01D270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712</Words>
  <Characters>4065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Дмитриева Елена Николаевна</dc:creator>
  <cp:lastModifiedBy>User</cp:lastModifiedBy>
  <cp:revision>2</cp:revision>
  <cp:lastPrinted>2015-12-03T13:36:00Z</cp:lastPrinted>
  <dcterms:created xsi:type="dcterms:W3CDTF">2016-07-08T08:15:00Z</dcterms:created>
  <dcterms:modified xsi:type="dcterms:W3CDTF">2016-07-08T08:15:00Z</dcterms:modified>
</cp:coreProperties>
</file>